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41" w:rsidRDefault="00070907">
      <w:pPr>
        <w:jc w:val="center"/>
        <w:rPr>
          <w:rFonts w:ascii="方正黑体_GBK" w:eastAsia="方正黑体_GBK"/>
          <w:sz w:val="24"/>
          <w:szCs w:val="24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สถานประกอบการผลิตเนื้อสัตว์นำเข้าในต่างประเทศ</w:t>
      </w:r>
    </w:p>
    <w:p w:rsidR="00CB0841" w:rsidRDefault="00070907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CB0841" w:rsidRDefault="00070907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CB0841" w:rsidRDefault="00070907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CB0841" w:rsidRDefault="00070907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CB0841" w:rsidRDefault="00070907">
      <w:pPr>
        <w:pStyle w:val="1"/>
        <w:spacing w:line="560" w:lineRule="exact"/>
        <w:ind w:firstLine="48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CB0841" w:rsidRDefault="00070907">
      <w:pPr>
        <w:pStyle w:val="1"/>
        <w:spacing w:line="560" w:lineRule="exact"/>
        <w:ind w:firstLine="48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1. </w:t>
      </w:r>
      <w:r>
        <w:rPr>
          <w:rFonts w:ascii="方正仿宋_GBK" w:eastAsia="方正仿宋_GBK" w:cs="Times New Roman" w:hint="eastAsia"/>
          <w:sz w:val="24"/>
          <w:szCs w:val="24"/>
        </w:rPr>
        <w:t>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บังคับของสาธารณรัฐประชาชนจีนว่าด้วยการจดทะเบียนและการจัดการวิสาหกิจการผลิตอาหารนำเข้าในต่างประเทศ</w:t>
      </w:r>
      <w:r>
        <w:rPr>
          <w:rFonts w:ascii="方正仿宋_GBK" w:eastAsia="方正仿宋_GBK" w:cs="Times New Roman" w:hint="eastAsia"/>
          <w:sz w:val="24"/>
          <w:szCs w:val="24"/>
        </w:rPr>
        <w:t>" (</w:t>
      </w:r>
      <w:r>
        <w:rPr>
          <w:rFonts w:ascii="方正仿宋_GBK" w:eastAsia="方正仿宋_GBK" w:cs="Times New Roman" w:hint="eastAsia"/>
          <w:sz w:val="24"/>
          <w:szCs w:val="24"/>
        </w:rPr>
        <w:t>การบริหารทั่วไปของคำสั่งศุลกากรหมายเลข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248) </w:t>
      </w:r>
      <w:r>
        <w:rPr>
          <w:rFonts w:ascii="方正仿宋_GBK" w:eastAsia="方正仿宋_GBK" w:cs="Times New Roman" w:hint="eastAsia"/>
          <w:sz w:val="24"/>
          <w:szCs w:val="24"/>
        </w:rPr>
        <w:t>เงื่อนไขด้านสุขอนามัยขององค์กรการผลิตเนื้อสัตว์และผลิตภัณฑ์เนื้อสัตว์ในต่างประเทศที่ใช้บังคับ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สำหรับการจดทะเบียนในประเทศจีนควรปฏิบัติตามกฎหมาย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กฎระเบียบ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และมาตรฐานของจีน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กฎระเบียบที่เกี่ยวข้องเป็นไปตามข้อกำหนดของพิธีสารว่าด้วยการตรวจสอบและกักกันเนื้อสัตว์ที่ส่งออกไปยังประเทศจีน</w:t>
      </w:r>
    </w:p>
    <w:p w:rsidR="00CB0841" w:rsidRDefault="00070907">
      <w:pPr>
        <w:pStyle w:val="6110"/>
        <w:adjustRightInd w:val="0"/>
        <w:snapToGrid w:val="0"/>
        <w:spacing w:line="56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2. </w:t>
      </w:r>
      <w:r>
        <w:rPr>
          <w:rFonts w:ascii="方正仿宋_GBK" w:eastAsia="方正仿宋_GBK" w:cs="Times New Roman" w:hint="eastAsia"/>
          <w:sz w:val="24"/>
          <w:szCs w:val="24"/>
        </w:rPr>
        <w:t>เจ้าหน้าที่ผู้มีอำนาจในต่างประเทศสำหรับเนื้อสัตว์และผลิตภัณฑ์เนื้อสัตว์ที่ส่งออกไปยังประเทศจี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จะดำเนินการตรวจสอบอย่างเป็นทางการของสถานประกอบการผลิตเนื้อสัตว์และผลิตภัณฑ์เนื้อสัตว์ตาม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Start w:id="1" w:name="_Hlk14029052"/>
      <w:r>
        <w:rPr>
          <w:rFonts w:ascii="方正仿宋_GBK" w:eastAsia="方正仿宋_GBK" w:cs="Times New Roman" w:hint="eastAsia"/>
          <w:sz w:val="24"/>
          <w:szCs w:val="24"/>
        </w:rPr>
        <w:t>ตารางนี้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End w:id="1"/>
      <w:r>
        <w:rPr>
          <w:rFonts w:ascii="方正仿宋_GBK" w:eastAsia="方正仿宋_GBK" w:cs="Times New Roman" w:hint="eastAsia"/>
          <w:sz w:val="24"/>
          <w:szCs w:val="24"/>
        </w:rPr>
        <w:t>และทำการพิจารณาการปฏิบัติตามตามความเป็นจริงตามเงื่อนไขการตรวจสอบที่เกิดขึ้นจริง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่งแบบฟอร์มนี้และเอกสารการรับรองที่บริษัทผลิตเนื้อสัตว์ในต่างประเทศจัดทำขึ้นตามข้อกำหนดที่เกี่ยวข้องของสำนักงานความปลอดภัยด้านอาหารนำเข้าและส่งออกของกรมศุลกากรแห่งประเทศจีน</w:t>
      </w:r>
    </w:p>
    <w:p w:rsidR="00CB0841" w:rsidRDefault="00070907">
      <w:pPr>
        <w:pStyle w:val="1"/>
        <w:spacing w:line="56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3. </w:t>
      </w:r>
      <w:r>
        <w:rPr>
          <w:rFonts w:ascii="方正仿宋_GBK" w:eastAsia="方正仿宋_GBK" w:cs="Times New Roman" w:hint="eastAsia"/>
          <w:sz w:val="24"/>
          <w:szCs w:val="24"/>
        </w:rPr>
        <w:t>สถานประกอบการผลิตเนื้อสัตว์และผลิตภัณฑ์เนื้อสัตว์ในต่างประเทศที่ส่งออกไปยังประเทศจีนจะต้องประเมินตนเองและดำเนินการตรวจสอบตนเองก่อนที่จะยื่นขอจดทะเบียนตาม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จัดเตรียมเอกสารประกอบตามเนื้อหาในคอลัมน์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ข้อกำหนดในการกรอกและเอกสารประกอบ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ในแบบฟอร์มนี้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ควรจัดทำรายการเอกสารการรับรอง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และหมายเลขและเนื้อหาควรสอดคล้องกับหมายเลขและเนื้อหาในคอลัมน์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ควรกรอกเป็นภาษาจีนและภาษาอังกฤษ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และเนื้อหาควรเป็นจริงและครบถ้วน</w:t>
      </w:r>
    </w:p>
    <w:p w:rsidR="00CB0841" w:rsidRDefault="00070907">
      <w:pPr>
        <w:pStyle w:val="1"/>
        <w:spacing w:line="56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4. </w:t>
      </w:r>
      <w:r>
        <w:rPr>
          <w:rFonts w:ascii="方正仿宋_GBK" w:eastAsia="方正仿宋_GBK" w:cs="Times New Roman" w:hint="eastAsia"/>
          <w:sz w:val="24"/>
          <w:szCs w:val="24"/>
        </w:rPr>
        <w:t>เนื้อหาภาษาอังกฤษมีไว้เพื่อการอ้างอิงเท่านั้น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เนื้อหาภาษาจีนจะมีผลเหนือกว่า</w:t>
      </w:r>
    </w:p>
    <w:p w:rsidR="00CB0841" w:rsidRDefault="00070907">
      <w:pPr>
        <w:pStyle w:val="1"/>
        <w:spacing w:line="56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5. </w:t>
      </w:r>
      <w:r>
        <w:rPr>
          <w:rFonts w:ascii="方正仿宋_GBK" w:eastAsia="方正仿宋_GBK" w:hint="eastAsia"/>
          <w:sz w:val="24"/>
          <w:szCs w:val="24"/>
        </w:rPr>
        <w:t>ขอบเขตของการใช้ตารางนี้</w:t>
      </w:r>
      <w:r>
        <w:rPr>
          <w:rFonts w:ascii="方正仿宋_GBK" w:eastAsia="方正仿宋_GBK" w:hint="eastAsia"/>
          <w:sz w:val="24"/>
          <w:szCs w:val="24"/>
        </w:rPr>
        <w:t xml:space="preserve">: </w:t>
      </w:r>
      <w:r>
        <w:rPr>
          <w:rFonts w:ascii="方正仿宋_GBK" w:eastAsia="方正仿宋_GBK" w:hint="eastAsia"/>
          <w:sz w:val="24"/>
          <w:szCs w:val="24"/>
        </w:rPr>
        <w:t>เนื้อสัตว์หมายถึงทุกส่วนของปศุสัตว์และสัตว์ปีกที่มีไว้สำหรับการบริโภคของมนุษย์หรือได้รับการตัดสินว่าปลอดภัยและเหมาะสมสำหรับการบริโภคของมนุษย์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รวมถึงซากปศุสัตว์และสัตว์ปีก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เนื้อตัด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และผลพลอยได้ที่กินได้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ซึ่งผลพลอยได้ที่บริโภคได้หมายถึงปศุสัตว์และสัตว์ปีก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หลังจากการฆ่าและแปรรูปแล้ว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จะได้ผลิตภัณฑ์ที่บริโภคได้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เช่น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เครื่องใน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ไขมัน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เลือด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กระดูก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หนัง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หัว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กีบ</w:t>
      </w:r>
      <w:r>
        <w:rPr>
          <w:rFonts w:ascii="方正仿宋_GBK" w:eastAsia="方正仿宋_GBK" w:hint="eastAsia"/>
          <w:sz w:val="24"/>
          <w:szCs w:val="24"/>
        </w:rPr>
        <w:t xml:space="preserve"> (</w:t>
      </w:r>
      <w:r>
        <w:rPr>
          <w:rFonts w:ascii="方正仿宋_GBK" w:eastAsia="方正仿宋_GBK" w:hint="eastAsia"/>
          <w:sz w:val="24"/>
          <w:szCs w:val="24"/>
        </w:rPr>
        <w:t>หรือกรงเล็บ</w:t>
      </w:r>
      <w:r>
        <w:rPr>
          <w:rFonts w:ascii="方正仿宋_GBK" w:eastAsia="方正仿宋_GBK" w:hint="eastAsia"/>
          <w:sz w:val="24"/>
          <w:szCs w:val="24"/>
        </w:rPr>
        <w:t xml:space="preserve">) </w:t>
      </w:r>
      <w:r>
        <w:rPr>
          <w:rFonts w:ascii="方正仿宋_GBK" w:eastAsia="方正仿宋_GBK" w:hint="eastAsia"/>
          <w:sz w:val="24"/>
          <w:szCs w:val="24"/>
        </w:rPr>
        <w:t>และหาง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bookmarkStart w:id="2" w:name="_Hlk71147763"/>
      <w:r>
        <w:rPr>
          <w:rFonts w:ascii="方正仿宋_GBK" w:eastAsia="方正仿宋_GBK" w:hint="eastAsia"/>
          <w:sz w:val="24"/>
          <w:szCs w:val="24"/>
        </w:rPr>
        <w:t>ช่วงการเข้ารหัส</w:t>
      </w:r>
      <w:r>
        <w:rPr>
          <w:rFonts w:ascii="方正仿宋_GBK" w:eastAsia="方正仿宋_GBK" w:hint="eastAsia"/>
          <w:sz w:val="24"/>
          <w:szCs w:val="24"/>
        </w:rPr>
        <w:t xml:space="preserve"> HS: </w:t>
      </w:r>
      <w:r>
        <w:rPr>
          <w:rFonts w:ascii="方正仿宋_GBK" w:eastAsia="方正仿宋_GBK" w:hint="eastAsia"/>
          <w:sz w:val="24"/>
          <w:szCs w:val="24"/>
        </w:rPr>
        <w:t>บทที่</w:t>
      </w:r>
      <w:r>
        <w:rPr>
          <w:rFonts w:ascii="方正仿宋_GBK" w:eastAsia="方正仿宋_GBK" w:hint="eastAsia"/>
          <w:sz w:val="24"/>
          <w:szCs w:val="24"/>
        </w:rPr>
        <w:t xml:space="preserve"> 02 </w:t>
      </w:r>
      <w:bookmarkEnd w:id="2"/>
      <w:r>
        <w:rPr>
          <w:rFonts w:ascii="方正仿宋_GBK" w:eastAsia="方正仿宋_GBK" w:hint="eastAsia"/>
          <w:sz w:val="24"/>
          <w:szCs w:val="24"/>
        </w:rPr>
        <w:t xml:space="preserve">, </w:t>
      </w:r>
      <w:r>
        <w:rPr>
          <w:rFonts w:ascii="方正仿宋_GBK" w:eastAsia="方正仿宋_GBK" w:hint="eastAsia"/>
          <w:sz w:val="24"/>
          <w:szCs w:val="24"/>
        </w:rPr>
        <w:t>บทที่</w:t>
      </w:r>
      <w:r>
        <w:rPr>
          <w:rFonts w:ascii="方正仿宋_GBK" w:eastAsia="方正仿宋_GBK" w:hint="eastAsia"/>
          <w:sz w:val="24"/>
          <w:szCs w:val="24"/>
        </w:rPr>
        <w:t xml:space="preserve"> 05 (</w:t>
      </w:r>
      <w:r>
        <w:rPr>
          <w:rFonts w:ascii="方正仿宋_GBK" w:eastAsia="方正仿宋_GBK" w:hint="eastAsia"/>
          <w:sz w:val="24"/>
          <w:szCs w:val="24"/>
        </w:rPr>
        <w:t>ยกเว้นปลอก</w:t>
      </w:r>
      <w:r>
        <w:rPr>
          <w:rFonts w:ascii="方正仿宋_GBK" w:eastAsia="方正仿宋_GBK" w:hint="eastAsia"/>
          <w:sz w:val="24"/>
          <w:szCs w:val="24"/>
        </w:rPr>
        <w:t xml:space="preserve">), </w:t>
      </w:r>
      <w:r>
        <w:rPr>
          <w:rFonts w:ascii="方正仿宋_GBK" w:eastAsia="方正仿宋_GBK" w:hint="eastAsia"/>
          <w:sz w:val="24"/>
          <w:szCs w:val="24"/>
        </w:rPr>
        <w:t>บทที่</w:t>
      </w:r>
      <w:r>
        <w:rPr>
          <w:rFonts w:ascii="方正仿宋_GBK" w:eastAsia="方正仿宋_GBK" w:hint="eastAsia"/>
          <w:sz w:val="24"/>
          <w:szCs w:val="24"/>
        </w:rPr>
        <w:t xml:space="preserve"> 15 (</w:t>
      </w:r>
      <w:r>
        <w:rPr>
          <w:rFonts w:ascii="方正仿宋_GBK" w:eastAsia="方正仿宋_GBK" w:hint="eastAsia"/>
          <w:sz w:val="24"/>
          <w:szCs w:val="24"/>
        </w:rPr>
        <w:t>ไขมันเนื้อวัวและแกะ</w:t>
      </w:r>
      <w:r>
        <w:rPr>
          <w:rFonts w:ascii="方正仿宋_GBK" w:eastAsia="方正仿宋_GBK" w:hint="eastAsia"/>
          <w:sz w:val="24"/>
          <w:szCs w:val="24"/>
        </w:rPr>
        <w:t>)</w:t>
      </w:r>
    </w:p>
    <w:p w:rsidR="00CB0841" w:rsidRDefault="00CB0841">
      <w:pPr>
        <w:pStyle w:val="6110"/>
        <w:autoSpaceDN w:val="0"/>
        <w:adjustRightInd w:val="0"/>
        <w:snapToGrid w:val="0"/>
        <w:spacing w:line="400" w:lineRule="exact"/>
        <w:ind w:firstLineChars="0" w:firstLine="0"/>
        <w:jc w:val="left"/>
        <w:rPr>
          <w:rFonts w:ascii="方正黑体_GBK" w:eastAsia="方正黑体_GBK" w:cs="Arial"/>
          <w:sz w:val="24"/>
          <w:szCs w:val="24"/>
        </w:rPr>
      </w:pPr>
    </w:p>
    <w:tbl>
      <w:tblPr>
        <w:tblW w:w="1375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3525"/>
        <w:gridCol w:w="2565"/>
        <w:gridCol w:w="3045"/>
        <w:gridCol w:w="1478"/>
        <w:gridCol w:w="1252"/>
      </w:tblGrid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โครงการ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เงื่อนไข หลัก และพื้นฐาน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จุดทบทวน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pStyle w:val="7610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การกำหนดการปฏิบัติตาม</w:t>
            </w: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lastRenderedPageBreak/>
              <w:t>ข้อกำหนด</w:t>
            </w:r>
          </w:p>
        </w:tc>
        <w:tc>
          <w:tcPr>
            <w:tcW w:w="1252" w:type="dxa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lastRenderedPageBreak/>
              <w:t>หมายเหตุ</w:t>
            </w:r>
          </w:p>
        </w:tc>
      </w:tr>
      <w:tr w:rsidR="00CB0841">
        <w:trPr>
          <w:trHeight w:val="672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1. ข้อมูลพื้นฐานขององค์กร</w:t>
            </w: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1.สถานการณ์พื้นฐาน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มาตรา 5, 6, 7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8 ของ "ข้อบังคับ ของสาธารณรัฐประชาชนจีน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ว่าด้วย 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248 )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" มาตรการ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ของสาธารณรัฐประชาชนจีนว่าด้วย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การจัดการความปลอดภัยด้านอาหารนำเข้าและส่งออก" (การบริหารทั่วไปของคำสั่งศุลกากรหมายเลข 249)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 "ข้อกำหนดด้านสุขอนามัยมาตรฐานความปลอดภัยด้านอาหารแห่งชา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ติสำหรับการฆ่าและแปรรูปปศุสัตว์และสัตว์ปีก" (GB 12694)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4.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ระเบียบการว่าด้วยการตรวจสอบและกักกันเนื้อสัตว์ที่ส่งออกไปยังประเทศจีนที่ลงนามระหว่างหน่วยงานผู้มีอำนาจของประเทศที่ยื่นคำขอและสำนักงานศุลกากรทั่วไป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กรอก " แบบฟอร์มคำขอ จดทะเบียนองค์กรการผลิตในต่างประเทศ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เนื้อสัตว์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ผลิตภัณฑ์เนื้อสัตว์นำเข้า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เจ้าหน้าที่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ควรสามารถตอบสนองความต้องการของการผลิตขององค์กร การประมวลผล และการตรวจสอบและการกำกับดูแลอย่างเป็น </w:t>
            </w:r>
            <w:r>
              <w:rPr>
                <w:rFonts w:ascii="Times New Roman" w:eastAsia="宋体" w:hint="eastAsia"/>
                <w:color w:val="000000"/>
                <w:sz w:val="24"/>
              </w:rPr>
              <w:t>ทางการ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 ผลิตภัณฑ์เนื้อสัตว์ที่มีจุดประสงค์เพื่อส่งออกไปยังประเทศ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จีนควรเป็นไปตามขอบเขตผลิตภัณฑ์ที่ระบุในระเบียบการ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 ความเร็วของสายการฆ่าควรจะสามารถรับประกันการดำเนินการตรวจสอบหลังการฆ่าได้อย่างมีประสิทธิภาพ และความสามารถในการแยกกระดูก การแบ่งส่วน และการประมวลผลควรตรงกับความสามารถในการฆ่า 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 ความจุในการแช่เย็นควรเป็นไปตามความสามารถในการผลิตและจัดเก็บผลิตภัณฑ์เนื้อสัตว์แช่แข็ง/แช่เย็นได้อย่างต่อ </w:t>
            </w:r>
            <w:r>
              <w:rPr>
                <w:rFonts w:ascii="Times New Roman" w:eastAsia="宋体"/>
                <w:color w:val="000000"/>
                <w:sz w:val="24"/>
              </w:rPr>
              <w:t>เนื่อง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CB0841" w:rsidRDefault="00070907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764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2. ที่ตั้งองค์กร รูปแบบการประชุมเชิงปฏิบัติการ สิ่งอำนวยความสะดวกและอุปกรณ์</w:t>
            </w: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2.1 การเลือกไซต์องค์กรและสภาพแวดล้อมของโรงงาน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3.2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 </w:t>
            </w:r>
            <w:r>
              <w:rPr>
                <w:rFonts w:ascii="Times New Roman" w:eastAsia="宋体"/>
                <w:color w:val="00000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2.1 จัดเตรียมรูปภาพสภาพแวดล้อมที่โรงงานตั้งอยู่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ฯลฯ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ไม่ควรมีแหล่งกำเนิดมลพิษรอบๆ บริเวณโรงงาน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2.2 แผนผังโรงงาน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3.1, 3.3 และ 4.1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12694 )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2.2 จัดทำแผนผังชั้นของพื้นที่โรงงาน แผนผังชั้นควรระบุพื้นที่กักขังสัตว์ที่มีชีวิต พื้นที่แยก/โรงฆ่าฉุกเฉิน พื้นที่ฆ่า พื้นที่แบ่งส่วน พื้นที่ขนส่ง ห้องเก็บสารเคมี ห้องปฏิบัติการ (ถ้ามี) และพื้นที่บำบัดที่ไม่เป็นอั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นตราย (ถ้ามี) และ พื้นที่ปฏิบัติงานอื่น ๆ ระบุเส้นทางเข้า การขนถ่าย การทำความสะอาดและการฆ่าเชื้อ และเส้นทางออกของยานพาหนะขนส่งสัตว์ที่มีชีวิต ระบุเส้นทางเข้า การขนถ่ายผลิตภัณฑ์จากเนื้อสัตว์ ระบุข้อมูลเส้นทางการขนส่งของ </w:t>
            </w:r>
            <w:r>
              <w:rPr>
                <w:rFonts w:ascii="Times New Roman" w:eastAsia="宋体"/>
                <w:color w:val="000000"/>
                <w:sz w:val="24"/>
              </w:rPr>
              <w:t>เสีย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แผนผังของพื้นที่โรงงานควรตอบสนองความต้องการในการผลิตและการแปรรูป พื้นที่โรงงานควรแบ่งออกเป็นพื้นที่การผลิตและพื้นที่ที่ไม่ใช่การผลิต ควรหลีกเลี่ยงการปนเปื้อนข้ามของปศุสัตว์และสัตว์ปีกที่มีชีวิต การขนส่งของเสีย และการส่งมอบผลิตภัณฑ์สำเร็จรูป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2.3 การออกแบบและเค้าโครงการประชุมเชิงปฏิบัติการ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4.1,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4.2 และ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12694 )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2.3 จัดทำแผนผังชั้นของโรงฆ่าสัตว์ โรงฆ่าสัตว์ โรงฆ่าสัตว์ โรงแปรรูปผลพลอยได้ที่บริโภคได้ และเครื่องมือ ห้องทำความสะอาดและ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ฆ่าเชื้อ และห้องเตรียมความเย็น (รวมถึงพื้นที่ใช้งาน เช่น สิ่งอำนวยความสะดวกก่อนทำความเย็นสำหรับผลพลอยได้ที่บริโภคได้) พื้นที่บรรจุภัณฑ์ภายในและภายนอก พื้นที่แช่แข็งอย่างรวดเร็วและแช่เย็น ระบุ ทิศทางการไหลของคนและผลิตภัณฑ์ ในการประชุมเชิงปฏิบัติการ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เค้าโครงของโรงปฏิบัติงานควรสมเหตุสมผลเพื่อตอบสนองความต้องการด้านการผลิตและการแปรรูป และหลีกเลี่ยงการปนเปื้อน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ข้าม ไม่ควรฆ่าปศุสัต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ว์และสัตว์ปีก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ประเภทต่างๆ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พร้อมกันในโรงฆ่าสัตว์แห่ง เดียวกัน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>-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2.4 อุปกรณ์การผลิต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5.4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2.4 จัดทำรายการอุปกรณ์และสิ่งอำนวยความสะดวกที่สำคัญ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สถานประกอบการควรติดตั้งอุปกรณ์การผลิตให้เหมาะสมกับกำลังการ </w:t>
            </w:r>
            <w:r>
              <w:rPr>
                <w:rFonts w:ascii="Times New Roman" w:eastAsia="宋体"/>
                <w:color w:val="000000"/>
                <w:sz w:val="24"/>
              </w:rPr>
              <w:t>ผลิต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2.5 สิ่งอำนวยความสะดวกคลังสินค้า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8.2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 </w:t>
            </w:r>
            <w:r>
              <w:rPr>
                <w:rFonts w:ascii="Times New Roman" w:eastAsia="宋体"/>
                <w:color w:val="00000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2.5 อธิบายข้อกำหนดการจัดการสุขาภิบาลของคลังสินค้าโดยย่อ และจัดเตรียมรูปภาพที่เกี่ยวข้องในคลังสินค้าที่สามารถสะท้อนถึงสถานการณ์ในการจัด </w:t>
            </w:r>
            <w:r>
              <w:rPr>
                <w:rFonts w:ascii="Times New Roman" w:eastAsia="宋体"/>
                <w:color w:val="000000"/>
                <w:sz w:val="24"/>
              </w:rPr>
              <w:t>เก็บ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วิสาหกิจควรตรวจสอบให้แน่ใจว่าเนื้อสัตว์ที่ส่งออกไปยังประเทศจีนมีการติดฉลากอย่างชัดเจน จัดเก็บในพื้นที่พิเศษ และสภาพแวดล้อมในการจัดเก็บและการขนส่งสะอาดและถูก </w:t>
            </w:r>
            <w:r>
              <w:rPr>
                <w:rFonts w:ascii="Times New Roman" w:eastAsia="宋体"/>
                <w:color w:val="000000"/>
                <w:sz w:val="24"/>
              </w:rPr>
              <w:t>สุขลักษณะ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3. การจัดหาน้ำ/น้ำแข็ง/ไอน้ำสำหรับแปรรูป</w:t>
            </w: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การบำบัดคุณภาพน้ำของน้ำที่ใช้ในกระบวนการผลิต (ถ้ามี)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และ 11.2.2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"มาตรฐานด้านสุขอนามัยสำหรับน้ำดื่ม" (GB 5749)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หากเป็นแหล่งน้ำของบริษัท โปรดอธิบายมาตรการที่เกี่ยวข้องในการควบคุมคุณภาพน้ำ และจัดทำรายงานผลการทดสอบคุณภาพน้ำในก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ารผลิตล่าสุด (ถ้ามี </w:t>
            </w:r>
            <w:r>
              <w:rPr>
                <w:rFonts w:ascii="Times New Roman" w:eastAsia="宋体"/>
                <w:color w:val="000000"/>
                <w:sz w:val="24"/>
              </w:rPr>
              <w:t>)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ปริมาณคลอรีนที่เติมระหว่างการบำบัดคลอรีนควรเป็นไปตามข้อกำหนดของ "มาตรฐานด้านสุขอนามัยสำหรับน้ำดื่ม" (GB 5749) หากไม่ได้เติมคลอรีน องค์กรควรตรวจสอบให้แน่ใจว่าคุณภาพน้ำเป็นไปตามข้อ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กำหนดของ "มาตรฐานด้านสุขอนามัยสำหรับ น้ำดื่ม" (GB 5749)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CB0841" w:rsidRDefault="00070907">
            <w:pPr>
              <w:pStyle w:val="1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□ไม่สามารถใช้งานได้</w:t>
            </w: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3.2 การควบคุมจุลินทรีย์ในน้ำ/น้ำแข็ง/ไอน้ำ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5.1.1 และ 11.2.2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B0841" w:rsidRDefault="00070907">
            <w:pPr>
              <w:pStyle w:val="1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3.2.1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จัดทำ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แผนการติดตามจุลินทรีย์สำหรับ น้ำในกระบวนการและ น้ำแข็ง /ไอน้ำ ที่สัมผัสกับอาหาร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โดยตรง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ขอบเขตของการติดตามจุลินทรีย์ควรครอบคลุมน้ำในการผลิต น้ำแข็ง/ไอน้ำ และแผนควรรวมถึงรายการทดสอบ ความถี่ วิธีการทดสอบ และมาตรฐานการพิจารณา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3.2.2 จัดทำรายงานผลการทด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สอบทางจุลชีววิทยาล่าสุดของน้ำ น้ำแข็ง/ไอน้ำ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รายการ วิธีการ และผลการทดสอบควรเป็นไปตามข้อกำหนดของ "มาตรฐานด้านสุขอนามัยสำหรับน้ำดื่ม" ( GB 5749 </w:t>
            </w:r>
            <w:r>
              <w:rPr>
                <w:rFonts w:ascii="Times New Roman" w:eastAsia="宋体"/>
                <w:color w:val="000000"/>
                <w:sz w:val="24"/>
              </w:rPr>
              <w:t>)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 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4. แหล่งที่มาของสัตว์มีชีวิต</w:t>
            </w: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4.1 แหล่งต้นทางและฟาร์มเพาะพันธุ์สัตว์มีชีวิต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พิธีสารในการตรวจสอบและกักกันเนื้อสัตว์ที่ส่งออกไปยังประเทศจีนลงนามระหว่างหน่วยงานผู้มีอำนาจของประเทศที่ยื่นคำขอและฝ่ายบริหารทั่วไปของศุลกากร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จัดทำ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ตารางข้อมูลประเทศ/จังหวัด/ภูมิภาคที่สัตว์มีชีวิตมาจาก </w:t>
            </w:r>
            <w:r>
              <w:rPr>
                <w:rFonts w:ascii="Times New Roman" w:eastAsia="宋体"/>
                <w:color w:val="000000"/>
                <w:sz w:val="24"/>
              </w:rPr>
              <w:t>ไหน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จัดทำ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รายชื่อฟาร์มเพาะพันธุ์ที่เป็นแหล่งกำเนิดของสัตว์มีชีวิต โดยควรระบุว่าสถานประกอบการมีฟาร์มของตนเองหรือฟาร์มสัญญา </w:t>
            </w:r>
            <w:r>
              <w:rPr>
                <w:rFonts w:ascii="Times New Roman" w:eastAsia="宋体"/>
                <w:color w:val="000000"/>
                <w:sz w:val="24"/>
              </w:rPr>
              <w:t>จ้าง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วิสาหกิจควรใช้มาตรการที่มีประสิทธิภาพเพื่อแยกแยะและรับรองว่าสัตว์เนื้อดิบที่ส่งออกไปยังประเทศจีนควรมาจากประเทศหรือภูมิภาคที่กำหนดไว้ในพิธีสาร (หรือจังหวัด/ภูมิภาคเฉพาะที่กำหนดไว้อย่างชัดเจนในพิธีสาร) และไม่สามารถซื้อสัตว์ดิบจากภูมิภาคต่างประเทศ </w:t>
            </w:r>
            <w:r>
              <w:rPr>
                <w:rFonts w:ascii="Times New Roman" w:eastAsia="宋体"/>
                <w:color w:val="000000"/>
                <w:sz w:val="24"/>
              </w:rPr>
              <w:t>ได้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4.2 ใบรับรองการกักกันสัตว์มีชีวิต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*การกำหนดอายุ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รายเดือน (ใช้ได้กับโค)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ระเบียบปฏิบัติว่าด้วยการตรวจสอบและกักกันเนื้อสัตว์ที่ส่งออกไปยังประเทศจีนที่ลงนามระหว่างหน่วยงา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นผู้มีอำนาจของประเทศที่ยื่นคำขอและสำนักงานศุลกากรทั่วไป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6.2.1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 </w:t>
            </w:r>
            <w:r>
              <w:rPr>
                <w:rFonts w:ascii="Times New Roman" w:eastAsia="宋体"/>
                <w:color w:val="00000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4.2.1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จัดเตรียมตัว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อย่างใบรับรองการกักกันสัตว์มีชีวิตที่ถูกส่งไป </w:t>
            </w:r>
            <w:r>
              <w:rPr>
                <w:rFonts w:ascii="Times New Roman" w:eastAsia="宋体"/>
                <w:color w:val="000000"/>
                <w:sz w:val="24"/>
              </w:rPr>
              <w:lastRenderedPageBreak/>
              <w:t>ฆ่า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4.2.2 จัดให้มีมาตรฐานการตัดสินอายุและเอกสารขั้นตอนการปฏิบัติงานทุกเดือน (ใช้กับโค)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หน่วยงานของรัฐควรยืนยันใบรับรองการกักกันเพื่อให้แน่ใจว่าวัตถุดิบมาจากพื้นที่ที่มีคุ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ณสมบัติเหมาะสม สามารถตรวจสอบย้อนกลับไปยังฟาร์มเพาะพันธุ์ได้ และควรเก็บบันทึกที่เกี่ยวข้องไว้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การกำหนดอายุรายเดือนควรแม่นยำ และวิธีการดำเนินการควรสมเหตุสมผลและใช้งานง่าย (ใช้ได้กับโค)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5. การฆ่าและตัดเนื้อสัตว์</w:t>
            </w: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pStyle w:val="4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5.1 การตรวจสอบเนื้อสัตว์</w:t>
            </w:r>
          </w:p>
          <w:p w:rsidR="00CB0841" w:rsidRDefault="00070907">
            <w:pPr>
              <w:pStyle w:val="4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5.1.1 ขั้นตอนการตรวจสอบ</w:t>
            </w:r>
          </w:p>
          <w:p w:rsidR="00CB0841" w:rsidRDefault="00070907">
            <w:pPr>
              <w:pStyle w:val="4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5.1.2 หลักเกณฑ์การป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ฏิเสธหรือยอมรับซาก/เนื้อสัตว์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6 และ 10.5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CB0841" w:rsidRDefault="00070907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ระเบียบการว่าด้วยการตรวจสอบแ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ละกักกันเนื้อสัตว์ที่ส่งออกไปยังประเทศจีนที่ลงนามระหว่างหน่วยงานผู้มีอำนาจของประเทศที่ยื่นคำขอและสำนักงานศุลกากรทั่วไป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5.1.1 อธิบายโดยย่อว่าใครและที่ตำแหน่ง/กระบวนการใดที่ดำเนินการตรวจสอบก่อนและหลังการฆ่า</w:t>
            </w:r>
          </w:p>
          <w:p w:rsidR="00CB0841" w:rsidRDefault="00070907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5.1.2 จัดเตรียม รูปภาพที่เกี่ยวข้องของพื้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นที่ทำงานตรวจสอบหลังการฆ่าภายใต้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สภาพ การทำงาน รูปภาพพื้นที่ทำงานควรรวมถึงโต๊ะตรวจสอบหลังการฆ่า พื้นที่ตัดแต่งซากที่ปนเปื้อน พื้นที่กักเก็บซากที่น่าสงสัย สถานที่จัดเก็บซากที่ไม่มีเงื่อนไข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เหตุฉุกเฉิน ในสายการประกอบการฆ่า ปุ่มหยุด </w:t>
            </w:r>
            <w:r>
              <w:rPr>
                <w:rFonts w:ascii="Times New Roman" w:eastAsia="宋体"/>
                <w:color w:val="000000"/>
                <w:sz w:val="24"/>
              </w:rPr>
              <w:t>ฯลฯ</w:t>
            </w:r>
          </w:p>
          <w:p w:rsidR="00CB0841" w:rsidRDefault="00070907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5.1.3 กำหนดหลักเกณฑ์ในการปฏิเสธหรือรับซาก/เนื้อสัตว์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pStyle w:val="48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เฉพาะเนื้อสัตว์ที่ผ่านการตรวจสอบก่อนและหลังการฆ่าเท่านั้นที่สามารถส่งออกไปยังประเทศจีนได้</w:t>
            </w:r>
          </w:p>
          <w:p w:rsidR="00CB0841" w:rsidRDefault="00070907">
            <w:pPr>
              <w:pStyle w:val="48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ควรตรวจสอบให้แน่ใจว่าอวัย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วะภายในและซากมีความสอดคล้องกันอย่างถูกต้องหลังการตรวจชันสูตรพลิกศพ</w:t>
            </w:r>
          </w:p>
          <w:p w:rsidR="00CB0841" w:rsidRDefault="00070907">
            <w:pPr>
              <w:pStyle w:val="48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3.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ควรหลีกเลี่ยงการปนเปื้อนข้ามที่เกิดจากการปนเปื้อนของน้ำดีใน </w:t>
            </w:r>
            <w:r>
              <w:rPr>
                <w:rFonts w:ascii="Times New Roman" w:eastAsia="宋体"/>
                <w:color w:val="000000"/>
                <w:sz w:val="24"/>
              </w:rPr>
              <w:t>อุจจาระ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pStyle w:val="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CB0841" w:rsidRDefault="00070907">
            <w:pPr>
              <w:pStyle w:val="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566"/>
        </w:trPr>
        <w:tc>
          <w:tcPr>
            <w:tcW w:w="1893" w:type="dxa"/>
            <w:vAlign w:val="center"/>
          </w:tcPr>
          <w:p w:rsidR="00CB0841" w:rsidRDefault="00070907">
            <w:pPr>
              <w:pStyle w:val="4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การจัดตั้งและดำเ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นินการ ระบบ HACCP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pStyle w:val="41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11.1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CB0841" w:rsidRDefault="00070907">
            <w:pPr>
              <w:pStyle w:val="41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"ข้อกำหนดทั่วไปสำหรับวิสาหกิจการผลิตอาหารภายใต้ระบบการวิเคราะห์อันตรายและจุดควบคุมวิกฤต (HACCP)" (GB/T 27341)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pStyle w:val="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5.2.1 จัดทำแผนภูมิขั้นตอนกา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รผลิตและการประมวลผล เอกสารงานวิเคราะห์อันตราย และแผน HACCP สำหรับผลิตภัณฑ์ทั้งหมดที่ตั้งใจจะส่งออกไปยังประเทศจีน</w:t>
            </w:r>
          </w:p>
          <w:p w:rsidR="00CB0841" w:rsidRDefault="00070907">
            <w:pPr>
              <w:pStyle w:val="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5.2.2 จัดทำบันทึกการตรวจสอบจุด CCP บันทึกการแก้ไข และแบบฟอร์มตัวอย่างบันทึกการตรวจ </w:t>
            </w:r>
            <w:r>
              <w:rPr>
                <w:rFonts w:ascii="Times New Roman" w:eastAsia="宋体"/>
                <w:color w:val="000000"/>
                <w:sz w:val="24"/>
              </w:rPr>
              <w:t>สอบ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pStyle w:val="4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แผน HACCP ควรวิเคราะห์และควบคุมอันต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รายทางชีวภาพ กายภาพ และเคมีอย่างมีประสิทธิผล</w:t>
            </w:r>
          </w:p>
          <w:p w:rsidR="00CB0841" w:rsidRDefault="00070907">
            <w:pPr>
              <w:pStyle w:val="4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กระบวนการผลิตควรมีความเหมาะสมเพื่อหลีกเลี่ยงการปนเปื้อนข้าม</w:t>
            </w:r>
          </w:p>
          <w:p w:rsidR="00CB0841" w:rsidRDefault="00070907">
            <w:pPr>
              <w:pStyle w:val="4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 การกำหนดจุด CCP ควรเป็นไปตามหลักวิทยาศาสตร์และเป็นไปได้ และมาตรการแก้ไขและทวนสอบควรมีความเหมาะสม</w:t>
            </w:r>
          </w:p>
          <w:p w:rsidR="00CB0841" w:rsidRDefault="00070907">
            <w:pPr>
              <w:pStyle w:val="4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 แผน HACCP ควรรวมผลิตภัณฑ์ทั้งหมดที่มีจุดประสงค์เพื่อส่งออกไปยังประเทศ </w:t>
            </w:r>
            <w:r>
              <w:rPr>
                <w:rFonts w:ascii="Times New Roman" w:eastAsia="宋体"/>
                <w:color w:val="000000"/>
                <w:sz w:val="24"/>
              </w:rPr>
              <w:t>จีน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pStyle w:val="44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CB0841" w:rsidRDefault="00070907">
            <w:pPr>
              <w:pStyle w:val="44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5.3 ขั้นตอนการปฏิบัติงานมาตรฐานด้านสุขาภิบาล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*จัดทำและดำเนิ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นการตามขั้นตอนการปฏิบัติงาน มาตรฐานด้าน สุขอนามัย (ใช้ได้กับโค) สำหรับโรคสมองจากโรควัวบ้าชนิดสปองจิฟอร์ม (BSE) วัสดุเสี่ยงพิเศษ (SRM)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1. 5.4.5, 5.4.6,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7.2,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7.3, 7.4, 7.5,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10.4, 11.2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ใน "ข้อกำหนดด้านสุขอนามัยมาตรฐานความปลอดภัยด้านอาหารแห่งชาติสำหรับการฆ่าและแปรรูปปศุสัตว์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และสัตว์ปีก" (GB 12694 )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ข้อกำหนดเกี่ยว กับสารอันตรายพิเศษ (SRM) ที่กำหนดไว้ในระเบียบการว่าด้วยการตรวจสอบและกักกันเนื้อสัตว์ที่ส่งออกไปยังประเทศจีนที่ลงนามระหว่างหน่วยงานผู้มีอำนาจของประเทศที่ยื่นคำขอและหน่วยงานบริหารทั่วไปของ </w:t>
            </w:r>
            <w:r>
              <w:rPr>
                <w:rFonts w:ascii="Times New Roman" w:eastAsia="宋体"/>
                <w:color w:val="000000"/>
                <w:sz w:val="24"/>
              </w:rPr>
              <w:t>ศุลกากร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5.3.1 อธิบายโดยย่อว่าจะดำเนินการทำความสะอาดและฆ่าเชื้ออุปกรณ์ สิ่งอำนวยความสะดวก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เครื่องมือ และชุดทำงานเมื่อใด โดยใคร และความถี่เท่าใด</w:t>
            </w:r>
          </w:p>
          <w:p w:rsidR="00CB0841" w:rsidRDefault="00070907">
            <w:pPr>
              <w:pStyle w:val="18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5.3.2 อธิบายโดยย่อหรือจัดเตรียมข้อกำหนดมาตรฐานด้านสุขอนามัยสำหรับตำแหน่ง/ กระบวนการ เช่น การกำจัดทวารหนัก อวัยวะภายใน ขน ฯลฯ ที่อาจนำไปสู่การปนเปื้อนของซาก </w:t>
            </w:r>
            <w:r>
              <w:rPr>
                <w:rFonts w:ascii="Times New Roman" w:eastAsia="宋体"/>
                <w:color w:val="000000"/>
                <w:sz w:val="24"/>
              </w:rPr>
              <w:t>-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5.3.3 อธิบายโดยย่อหรือจัดเตรียมขอบเขตของสารเสี่ยงพิเศษ (SRM) สำหรับโค ข้อกำหนดการปฏิบัติงานมาตรฐานสำหรับก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ารกำจัด SRM ชี้แจงการตั้งค่าตำแหน่งการกำจัด SRM และปรับปรุงการปฏิบัติงานเฉพาะของตำแหน่งที่แตกต่างกัน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ขั้นตอนการปฏิบัติงานมาตรฐานด้านสุขอนามัยควรสามารถขจัดการปนเปื้อนข้ามและปฏิบัติตามข้อกำหนดด้านสุขอ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นามัย</w:t>
            </w:r>
          </w:p>
          <w:p w:rsidR="00CB0841" w:rsidRDefault="00070907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องค์กรควรชี้แจงขอบเขตของสารเสี่ยงพิเศษ (SRM) กำหนดข้อกำหนดการปฏิบัติงานสำหรับการกำจัด SRM ดำเนินการฝึกอบรมพนักงาน ควบคุม SRM อย่างมีประสิทธิภาพ และป้องกัน การปนเปื้อนข้าม (ถ้ามี)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5.4 การตรวจสอบตนเองและการควบคุมตนเอง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6.1 และ 7.1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ข้อกำหนดด้านจุลินทรีย์ที่กำหนดไว้ในระเบียบการว่าด้วยการตรวจสอบและกักกันเนื้อสัตว์ที่ส่งออกไปยังประเทศจีนที่ลงนามระหว่างหน่วยงานผู้มีอำนาจของประเทศผู้สมัครและหน่วยงานบริหารทั่วไปของ </w:t>
            </w:r>
            <w:r>
              <w:rPr>
                <w:rFonts w:ascii="Times New Roman" w:eastAsia="宋体"/>
                <w:color w:val="000000"/>
                <w:sz w:val="24"/>
              </w:rPr>
              <w:t>ศุลกากร -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5.4.1 จัดทำแผนติดตามจุลินทรีย์ขององค์กร ขอบเขตของแผนติดตามควรรวมถึงผลิตภัณฑ์ทั้งหมดที่มีวัตถุประสงค์เพื่อส่งออกไปยังประเทศจีน แผนควรแสดงรายการติดตาม ความถี่ มาตรฐานการตัดสินใจ มาตรการรักษาที่ไม่มีเงื่อนไข ฯลฯ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5.4.2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จัดให้มีรายงานผลการวิเคราะห์การติดตามจุลินทรีย์ในรอบ 6 เดือนที่ผ่านมา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5.4.3 หากองค์กรมี ห้องปฏิบัติการ ของตนเอง จะต้องส่งหลักฐานความสามารถและคุณสมบัติของห้องปฏิบัติการ หากองค์กรมอบหมายให้ห้องปฏิบัติการที่ได้รับมอบหมายจากบุคคลที่สาม จะต้องจัดเตรียมคุณสมบัติห้องปฏิบัติการที่ได้รับความไว้วางใจ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องค์กรควรจัดทำแผนการตรวจสอบตนเองและการควบคุมตนเอง และมาตรฐานการสุ่มตัวอย่าง การทดสอบ และการตัดสินสำหรับการทดสอบวัตถุดิบและผลิตภัณฑ์ควรเป็นไปตามข้อกำหนดของจีนเพื่อความปลอดภัยและสุขอนามัยของ </w:t>
            </w:r>
            <w:r>
              <w:rPr>
                <w:rFonts w:ascii="Times New Roman" w:eastAsia="宋体"/>
                <w:color w:val="000000"/>
                <w:sz w:val="24"/>
              </w:rPr>
              <w:t>ผลิตภัณฑ์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416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6. การประมวลผลผลพลอยได้ที่บริโภคได้ (ถ้ามี)</w:t>
            </w: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 การแปรรูปและการจัดการผลพลอ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ยได้ที่กินได้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4.1.6, 7.6 และ 7.7 ใน "ข้อกำหนดด้านสุขอนามัยมาตรฐา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ข้อกำหนดสำหรับผลพลอยได้ที่บริโภคได้ที่กำหนดไว้ในระเบียบการว่าด้วยการตรวจสอบและกักกันเนื้อสัตว์ที่ส่งออกไปยังประเทศจีนที่ลงนามระหว่างหน่วยงานผู้มีอำนาจของประเทศผู้สมัครและหน่วยงานบริหารทั่วไปของศุลกากร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6.1 จัดทำแผนผังชั้นของห้อง/พื้นที่แปรรูปผลพลอยไ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ด้ที่บริโภคได้ แผนผังชั้นควรระบุตำแหน่งของห้องแปรรูปผลพลอยได้ที่บริโภค/พื้นที่กำจัดกีบ (กรงเล็บ) สิ่งอำนวยความสะดวกก่อนการทำความเย็น และห้องบรรจุภัณฑ์ ระบุ การไหลของผู้คนและทิศทางการขนส่ง และให้ภาพสถานะการผลิตของการประชุมเชิงปฏิบัติการการประมวลผลผลพลอยได้ที่กินได้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6.2 จัดเตรียมแผนผังผังกระบวนการ แผ่นงานการวิเคราะห์อันตราย และแผน HACCP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สำหรับการแปรรูปผลพลอยได้ที่บริโภคได้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6.3 จัดให้มีขั้นตอนการปฏิบัติงานมาตรฐานด้านสุขลักษณะ (SOP) สำหรับผลพลอยได้ที่บริโภคได้ อย่างน้อย SOP ควรแสดงรายการพื้นที่การประมวลผลผลพลอยได้ที่บริโภคได้ เกณฑ์ในการพิจารณาผลิตภัณฑ์ที่มีคุณสมบัติเหมาะสม หรือเกณฑ์ในการปฏิเสธข้อบกพร่องของผลิตภัณฑ์ ข้อกำหนดในการควบคุมอุณหภูมิผลิตภัณฑ์ การจัดการชุดผลิตภัณฑ์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ข้อกำหนด ฯลฯ </w:t>
            </w:r>
            <w:r>
              <w:rPr>
                <w:rFonts w:ascii="Times New Roman" w:eastAsia="宋体"/>
                <w:color w:val="000000"/>
                <w:sz w:val="24"/>
              </w:rPr>
              <w:t>-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6.4 อธิบายขั้นตอนที่จำเป็นซึ่งกำหนดขึ้นเพื่อให้แน่ใจว่าเมื่อพบรอยโรคในอวัยวะภายในของซากซึ่งไม่เหมาะสำหรับการบริโภคของมนุษย์ สามารถระบุและกำจัดผลพลอยได้ที่เกี่ยวข้องที่บริโภคได้ที่เกี่ยวข้องอย่างถูกต้องและกำจัด เพื่อป้องกันผลพลอยได้ที่บริโภคได้ ผลิตภัณฑ์จากสัตว์ไม่มีคุณสมบัติส่งออกไปยังประเทศจีน (การขอผลพลอยได้ที่บริโภคได้ เช่น หัว กีบ และกรงเล็บ)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6.5 เอกสารที่แนบมาด้วยคือแผนการติดตามผลพลอยได้จากจุลินทรีย์ที่บริโภคได้ ซึ่งอย่างน้อยควรระบุวิธีการสุ่มตัวอย่าง ความถี่ รายการตรวจสอบและทดสอบ ขีดจำกัดการตรวจจับ มาตรฐานในการพิจารณาการปฏิบัติตามข้อกำหนด เป็นต้น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6.6 จัดให้มีมาตรการแยกพื้นที่/เวลาสำหรับพื้นที่แปรรูปเครื่องในและพื้นที่แปรรูปแบ่งส่วนซาก และจัดเตรียมเอกสารรับรองเพื่อหลีกเลี่ยงการปน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เปื้อนข้าม (ใช้ได้กับ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กระบวนการขุนเป็ด/ห่าน)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การประชุมเชิงปฏิบัติการผลพลอยได้ที่บริโภคได้ควรสอดค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ล้องกับผลิตภัณฑ์ที่ลงทะเบียนที่องค์กรประกาศ เช่น หัวปศุสัตว์และสัตว์ปีก กรงเล็บ เท้า เครื่องใน และผลิตภัณฑ์อื่น ๆ ที่มีพื้นที่เพียงพอและรูปแบบที่เหมาะสม โดยแยกพื้นที่สกปรกและพื้นที่สะอาดออกจากกัน หลีกเลี่ยงการปนเปื้อนข้าม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ความสามารถในการแปรรูปผลพลอยได้ที่บริโภคได้ควรสอดคล้องกับความสามารถในการฆ่า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 หากผลพลอยได้ที่บริโภคได้ เช่น หัว กีบ และก้าม ได้ถูกนำออกก่อนการชันสูตรพลิกศพ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ควรตรวจสอบให้แน่ใจว่าผลพลอยได้ที่รับประทานได้ที่เกี่ยวข้องนั้นสามารถระบุและกำจัดได้อย่างถูกต้องเมื่อพบรอยโรคในอวัยวะภายในของ ซากสัตว์ไม่เหมาะสำหรับการบริโภคของมนุษย์ เพื่อป้องกันการส่งออกผลพลอยได้ของสัตว์ ที่ไม่ผ่านการรับรอง ไปยังประเทศจีน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4. แผนการติดตามจุลินทรีย์สำหรับผลิตภัณฑ์ที่ส่งออกไปยังประเทศจีนควรรวมผลพลอยได้ที่บริโภคได้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5. สำหรับการขุนเป็ด/ห่าน ไม่ควรดำเนินการกระบวนการแกะเนื้อพร้อมกับการตัดเนื้อ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(ใช้ได้กับ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กระบวนการขุนเป็ด/ห่าน)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□ไม่สามารถใช้งานได้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CB0841" w:rsidRDefault="00CB0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489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ควบคุม อุณหภูมิ</w:t>
            </w: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7.1 การควบคุมอุณหภูมิ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การประชุมเชิงปฏิบัติการ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4.3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7.1 อธิบายข้อกำหนดด้านอุณหภูมิโดยย่อสำหรับสิ่งอำนวยความสะดวกก่อนการทำความเย็น การแบ่งห้องทำงาน ห้องแช่แข็ง และห้องเย็น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ควรควบคุมอุณหภูมิของเวิร์คช็อปภายในช่วงที่ระบุตามข้อกำหนดด้านกระบวนการผลิตภัณฑ์ อุณหภูมิ ของ ห้องเย็นจะถูกควบคุมที่ 0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℃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~ 4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℃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อุณหภูมิของห้อง แช่แข็งจะถูกควบคุมต่ำ กว่า 12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℃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; ควบคุมได้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ต่ำ กว่า -18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℃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pStyle w:val="5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pStyle w:val="5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pStyle w:val="19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7.2 อุณหภูมิของผลิตภัณฑ์/การควบคุมการปล่อยกรด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7.6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ข้อกำหนดอุณหภูมิและค่า pH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ที่ระบุในระเบียบปฏิบัติว่าด้วยการตรวจสอบและกักกันเนื้อสัตว์ที่ส่งออกไปยังประเทศจีนที่ลงนามระหว่างหน่วยงานผู้มีอำนาจของประเทศผู้สมัครและหน่วยงานบริหารทั่วไปของศุลกากร (ถ้ามี)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7.2.1 อธิบายข้อกำหนดโดยย่อสำหรับอุณหภูมิแกนกลางของเนื้อสัตว์และผลพลอยได้หลังการทำให้เย็นลง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7.2.2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จัดให้มีขั้นตอนการทำให้เป็นกรดของเนื้อสัตว์ รวมถึงวิธีการทำให้เย็นลงและสิ่งอำนวยความสะดวก (ถ้ามี)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7.2.3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จัดให้มีกราฟอุณหภูมิก่อนการทำความเย็นและการสุก และบันทึกการตรวจจับค่า pH ที่กึ่งกลางของกล้ามเนื้อ longissimus dorsi ของซาก (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ถ้า มี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)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ควรปฏิบัติตามข้อกำหนดของกระบวนการ หากจำเป็นต้องทำให้ซากและผลพลอยได้ที่บริโภคได้ต้องทำให้เย็นลงหลังจากการฆ่า ควรทำให้เย็นลงล่วงหน้าทัน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ที หลังจากเย็นลงแล้ว ควรรักษาอุณหภูมิแกนกลางของเนื้อสัตว์ให้ต่ำกว่า 7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อุณหภูมิแกนกลางของเนื้อสัตว์ปีกควรเก็บไว้ต่ำกว่า 4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และอุณหภูมิแกนกลางของผลิตภัณฑ์จากสัตว์ควรเก็บไว้ต่ำกว่า 3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C การแปรรูป การตัด การเลาะกระดูก ฯลฯ ควรทำโดยเร็วที่สุด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ควรจำกัดเวลาในการประมวลผลเพื่อให้แน่ใจว่าการประมวลผลโดยเร็วที่สุด เมื่อผลิตผลิตภัณฑ์แช่แข็ง อุณหภูมิแกนกลางของเนื้อสัตว์ควรต่ำกว่า -15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C ภายใน 48 ชั่วโมง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ก่อนจะเข้าสู่การเก็บรักษาในตู้เย็น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3. ค่า pH ของเนื้อสัตว์หลังการทำให้เป็นกรดควรเป็นไปตามข้อกำหนดของระเบียบการ (ถ้ามี)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764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8. การจัดการสารเคมีและวัสดุบรรจุภัณฑ์</w:t>
            </w: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8.1 การจัดการและการเก็บรักษาสารเคมี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7.8 และ 11.2.7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8.1.1 อธิบายข้อกำหนดโดยย่อสำหรับการใช้และการเก็บรักษาสารเคมี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8.1.2 จัดให้มีภาพห้องเก็บสารเคมี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สารเคมี (รวมถึงสารฆ่าเชื้อและสารทำความสะอาดอื่นๆ) ควรเป็นไปตามหน่วยงานผู้มีอำนาจในท้องถิ่นและข้อกำหนดของจีน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ควรจัดเก็บสารเคมีในพื้นที่เฉพาะ มีการจัดการอย่างเข้มงวดและมีฉลากชัดเจน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CB0841" w:rsidRDefault="00070907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8.2 การจัดการและก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ารจัดเก็บวัสดุบรรจุภัณฑ์ภายในและภายนอก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8.1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8.2 แสดงหลักฐานว่าวัสดุบร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รจุภัณฑ์ภายในและภายนอกเหมาะสำหรับบรรจุภัณฑ์เนื้อ </w:t>
            </w:r>
            <w:r>
              <w:rPr>
                <w:rFonts w:ascii="Times New Roman" w:eastAsia="宋体"/>
                <w:color w:val="000000"/>
                <w:sz w:val="24"/>
              </w:rPr>
              <w:t>สัตว์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วัสดุบรรจุภัณฑ์ไม่ควรมีสารพิ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ษและเป็นอันตราย และไม่ควรเปลี่ยนลักษณะทางประสาทสัมผัสของเนื้อสัตว์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CB0841" w:rsidRDefault="00070907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639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9. การกำจัดของเสียและการควบคุมศัตรูพืช</w:t>
            </w: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9.1 การกำจัดของเสีย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3.3.2, 3.3.3, 4.1.5, 5.2.3, 5.4.4, 5.8, 6.3.7, 6.4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9.1.1 ให้ภาพความแตกต่างระหว่างภาชนะบรรจุผลิตภัณฑ์ที่บริโภคได้และภาชนะเก็บขยะในโรงงาน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9.1.2 อธิบายข้อกำหนดโดยย่อสำหรับขั้นตอนการบำบัดของเสีย หากใช้บุคคลที่สามเพื่อการบำบัดที่ไม่เป็นอันตราย โปรดระบุคุณสมบัติที่เกี่ยวข้องของบริษัทบุคคลที่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สาม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ภาชนะบรรจุผลิตภัณฑ์ที่บริโภคได้และภาชนะเก็บขยะควรมีการทำเครื่องหมายและแยกแยะให้ชัดเจน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ของเสียควรเก็บแยกต่างหากและดำเนินการให้ทันเวลาเพื่อหลีกเลี่ยงมลภาวะต่อการ </w:t>
            </w:r>
            <w:r>
              <w:rPr>
                <w:rFonts w:ascii="Times New Roman" w:eastAsia="宋体"/>
                <w:color w:val="000000"/>
                <w:sz w:val="24"/>
              </w:rPr>
              <w:t>ผลิต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764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9.2 การควบคุมสัตว์รบกวนและสัตว์ฟันแทะ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5.2.2, 5.5.2, 5.7.2, 5.8.1, 11.2.9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9.2 จัดทำแผนโครงร่างการควบคุมสัตว์รบกวน หากบุคคลที่สามรับผิดชอบ ให้จัดเตรียมคุณสมบัติของบุคคลที่สาม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ควรหลีกเลี่ยงผลกระทบของสัตว์รบกวนและสัตว์ฟันแทะที่มีต่อสุขภาพและความปลอดภัยในการผลิต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764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10. การตรวจสอบย้อนกลับและการเรียกคืนผลิตภัณฑ์</w:t>
            </w: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 ระบบตรวจสอบย้อนกลับและเรียกคืน </w:t>
            </w:r>
            <w:r>
              <w:rPr>
                <w:rFonts w:ascii="Times New Roman" w:eastAsia="宋体"/>
                <w:color w:val="000000"/>
                <w:sz w:val="24"/>
              </w:rPr>
              <w:t>ผลิตภัณฑ์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9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ข้อกำหนดในการตรวจสอบย้อนกลับและการเรียกคืนที่กำหนดไว้ในระเบียบการว่าด้วยการตรวจสอบแ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ละกักกันเนื้อสัตว์ที่ส่งออกไปยังประเทศจีนที่ลงนามระหว่างหน่วยงานผู้มีอำนาจของประเทศที่ยื่นคำขอและหน่วยงานบริหารทั่วไปของศุลกากร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10.1 อธิบายขั้นตอนการตรวจสอบย้อนกลับผลิตภัณฑ์โดยย่อ โดยใช้หมายเลขชุดของผลิตภัณฑ์สำเร็จรูปเป็นตัวอย่าง อธิบายวิธีการติดตามผลิตภัณฑ์สำเร็จรูปไปยังฟ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าร์มเพาะพันธุ์ที่เกี่ยวข้องหรือบริษัทต้นทางของขั้นตอนก่อนหน้า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10.2 องค์กร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ที่ให้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บริการห้องเย็นอิสระจะต้องจัดเตรียมเอกสารที่พิสูจน์ว่าบริษัทแหล่งที่มาของผลิตภัณฑ์มีคุณสมบัติการจดทะเบียนในประเทศจีน (ถ้ามี)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10.3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ให้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ำอธิบายโดยย่อเกี่ยวกับการจัดการการจัดเก็บผลิตภัณฑ์ที่ส่งออกไปยังประเทศจีนขององค์กรห้องเย็นอิสระ โดยอธิบายแหล่งที่มาของผลิตภัณฑ์ที่ส่งออกไปยังประเทศจีน และข้อกำหนดในการป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ฏิบัติงานสำหรับการรับและ การจัดเก็บ (ถ้ามี) </w:t>
            </w:r>
            <w:r>
              <w:rPr>
                <w:rFonts w:ascii="Times New Roman" w:eastAsia="宋体"/>
                <w:color w:val="000000"/>
                <w:sz w:val="24"/>
              </w:rPr>
              <w:t>-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แหล่งที่มาของสัตว์หรือผลิตภัณฑ์ควรระบุด้วยองค์ประกอบของหมายเลขรุ่น และการจัดการการตรวจสอบย้อนกลับแบบก้าวไปข้างหน้าหนึ่งก้าวและถอยหลังหนึ่งก้าวควรบรรลุผลผ่านการจัดการชุดการผลิตและการรับบันทึกการขาย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 ผลิตภัณฑ์ที่ส่งออกไปยังประเทศจีนโดยองค์กรห้องเย็นอิสระควรมาจากองค์กรการฆ่าและการแบ่งส่วนที่ได้รับคุณสมบัติการจดทะเบียนในประเทศจีน ผลิตภัณฑ์ได้ผ่านการบรรจุและการติดฉลากภายในและภายนอกแล้ว ดำเนินการเฉพาะการแช่แข็งและแช่แข็งอย่างรวดเร็วเท่านั้น ผลิตภัณฑ์ที่ได้รับไม่ได้รับอนุญาตให้ดำเนินการบรรจุใหม่ การติดฉลาก และการดำเนินการอื่น ๆ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</w:tcPr>
          <w:p w:rsidR="00CB0841" w:rsidRDefault="00CB0841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764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11. การบริหารงานบุคคลและการฝึกอบรม</w:t>
            </w: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11.1 คุณสมบัติพนักงานและการจัดการด้านสุขภาพ</w:t>
            </w: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10.1 และ 10.2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CB0841" w:rsidRDefault="00070907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11.1 จัดให้มีการจัดการด้านสุขภาพก่อนการจ้างงานและข้อกำหนดการตรวจร่างกายของพนักงาน</w:t>
            </w:r>
          </w:p>
          <w:p w:rsidR="00CB0841" w:rsidRDefault="00CB0841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ก่อนการจ้างงาน ลูกจ้างควรได้รับการตรวจร่างกายและพิสูจน์ว่าพวกเขาเหมาะสมที่จะทำงานในสถานประกอบการแปรรูปอาหาร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11.2 การฝึกอบรมบุคลากร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10.5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11.2 จัดเตรียมแผนการฝึกอบรม เนื้อหา การประเมิน และบันทึกประจำปีให้กับพนักงาน</w:t>
            </w:r>
          </w:p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นื้อหาการฝึกอบรมควรครอบคลุมถึงระเบียบปฏิบัติการตรวจสอบและกักกันเนื้อสัตว์ที่ส่งออกไปยังประเทศจีน กฎระเบียบและมาตรฐานของจีน การควบคุม SRM (ใช้กับโค) ฯลฯ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37"/>
        </w:trPr>
        <w:tc>
          <w:tcPr>
            <w:tcW w:w="13758" w:type="dxa"/>
            <w:gridSpan w:val="6"/>
            <w:vAlign w:val="center"/>
          </w:tcPr>
          <w:p w:rsidR="00CB0841" w:rsidRDefault="00070907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12. คำชี้แจง</w:t>
            </w:r>
          </w:p>
        </w:tc>
      </w:tr>
      <w:tr w:rsidR="00CB0841">
        <w:trPr>
          <w:trHeight w:val="937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12.1 คำชี้แจงของบริษัท</w:t>
            </w:r>
          </w:p>
        </w:tc>
        <w:tc>
          <w:tcPr>
            <w:tcW w:w="3525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CB0841" w:rsidRDefault="00070907">
            <w:pPr>
              <w:pStyle w:val="5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กรอก " แบบฟอร์มคำขอ จดทะเบียนองค์กรการผลิตในต่างประเทศ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สำหรับเนื้อสัตว์และผลิตภัณฑ์เนื้อสัตว์นำเข้า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ควรมีลายเซ็นของนิติบุคคลและตราประทับของบริษัท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0841">
        <w:trPr>
          <w:trHeight w:val="989"/>
        </w:trPr>
        <w:tc>
          <w:tcPr>
            <w:tcW w:w="1893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12.2 การยืนยันโดยหน่วยงานสัตวแพทย์</w:t>
            </w:r>
          </w:p>
        </w:tc>
        <w:tc>
          <w:tcPr>
            <w:tcW w:w="3525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B0841" w:rsidRDefault="00070907">
            <w:pPr>
              <w:pStyle w:val="5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กรอก " แบบฟอร์มคำขอ จดทะเบียนองค์กรการผลิตในต่างประเทศ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สำหรับเนื้อสัตว์และผลิตภัณฑ์เนื้อสัตว์นำเข้า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045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ควรลงนามโดยสัตวแพทย์ผู้มีอำนาจและประทับตราโดยหน่วยงานผู้มีอำนาจ</w:t>
            </w:r>
          </w:p>
        </w:tc>
        <w:tc>
          <w:tcPr>
            <w:tcW w:w="1478" w:type="dxa"/>
            <w:vAlign w:val="center"/>
          </w:tcPr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CB0841" w:rsidRDefault="00070907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CB0841" w:rsidRDefault="00CB0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70907" w:rsidRDefault="00070907">
      <w:pPr>
        <w:pStyle w:val="1"/>
        <w:ind w:firstLineChars="0" w:firstLine="0"/>
        <w:rPr>
          <w:rFonts w:ascii="Times New Roman" w:eastAsia="方正仿宋_GBK" w:cs="Times New Roman"/>
          <w:bCs/>
          <w:color w:val="000000"/>
          <w:szCs w:val="21"/>
        </w:rPr>
      </w:pPr>
    </w:p>
    <w:sectPr w:rsidR="00070907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26" w:rsidRDefault="00B12026">
      <w:r>
        <w:separator/>
      </w:r>
    </w:p>
  </w:endnote>
  <w:endnote w:type="continuationSeparator" w:id="0">
    <w:p w:rsidR="00B12026" w:rsidRDefault="00B1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00"/>
    <w:family w:val="auto"/>
    <w:pitch w:val="variable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41" w:rsidRDefault="00070907">
    <w:pPr>
      <w:pStyle w:val="a4"/>
      <w:framePr w:wrap="around" w:vAnchor="text" w:hAnchor="margin" w:xAlign="center" w:y="1"/>
    </w:pPr>
    <w:r>
      <w:fldChar w:fldCharType="begin"/>
    </w:r>
    <w:r>
      <w:rPr>
        <w:rStyle w:val="a7"/>
      </w:rPr>
      <w:instrText>Page</w:instrText>
    </w:r>
    <w:r>
      <w:fldChar w:fldCharType="separate"/>
    </w:r>
    <w:r>
      <w:rPr>
        <w:rStyle w:val="a7"/>
      </w:rPr>
      <w:t>1</w:t>
    </w:r>
    <w:r>
      <w:fldChar w:fldCharType="end"/>
    </w:r>
  </w:p>
  <w:p w:rsidR="00CB0841" w:rsidRDefault="00CB08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41" w:rsidRDefault="00070907">
    <w:pPr>
      <w:pStyle w:val="a4"/>
      <w:framePr w:wrap="around" w:vAnchor="text" w:hAnchor="margin" w:xAlign="center" w:y="1"/>
    </w:pPr>
    <w:r>
      <w:fldChar w:fldCharType="begin"/>
    </w:r>
    <w:r>
      <w:rPr>
        <w:rStyle w:val="a7"/>
      </w:rPr>
      <w:instrText>Page</w:instrText>
    </w:r>
    <w:r>
      <w:fldChar w:fldCharType="separate"/>
    </w:r>
    <w:r w:rsidR="008004E4">
      <w:rPr>
        <w:rStyle w:val="a7"/>
        <w:noProof/>
      </w:rPr>
      <w:t>1</w:t>
    </w:r>
    <w:r>
      <w:fldChar w:fldCharType="end"/>
    </w:r>
  </w:p>
  <w:p w:rsidR="00CB0841" w:rsidRPr="008004E4" w:rsidRDefault="008004E4">
    <w:pPr>
      <w:pStyle w:val="a4"/>
      <w:rPr>
        <w:color w:val="808080" w:themeColor="background1" w:themeShade="80"/>
      </w:rPr>
    </w:pPr>
    <w:r w:rsidRPr="008004E4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26" w:rsidRDefault="00B12026">
      <w:r>
        <w:separator/>
      </w:r>
    </w:p>
  </w:footnote>
  <w:footnote w:type="continuationSeparator" w:id="0">
    <w:p w:rsidR="00B12026" w:rsidRDefault="00B1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0204BC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26C476E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BF0CE4D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A408308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CDEDBE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A2FC155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FB3E35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486AC4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AF26E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14A6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B1"/>
    <w:rsid w:val="00013B3C"/>
    <w:rsid w:val="00070907"/>
    <w:rsid w:val="00275CE7"/>
    <w:rsid w:val="0050347C"/>
    <w:rsid w:val="00567541"/>
    <w:rsid w:val="00592116"/>
    <w:rsid w:val="00612281"/>
    <w:rsid w:val="0063680D"/>
    <w:rsid w:val="00703AF3"/>
    <w:rsid w:val="008004E4"/>
    <w:rsid w:val="008A41A0"/>
    <w:rsid w:val="00906F81"/>
    <w:rsid w:val="00956D1F"/>
    <w:rsid w:val="00B12026"/>
    <w:rsid w:val="00CB0841"/>
    <w:rsid w:val="00DA2126"/>
    <w:rsid w:val="00E6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cs="Times New Roman"/>
      <w:kern w:val="0"/>
      <w:sz w:val="20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7">
    <w:name w:val="page number"/>
    <w:basedOn w:val="a0"/>
  </w:style>
  <w:style w:type="paragraph" w:customStyle="1" w:styleId="11110">
    <w:name w:val="样式 111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">
    <w:name w:val="列出段落2"/>
    <w:basedOn w:val="a"/>
    <w:pPr>
      <w:ind w:firstLineChars="200" w:firstLine="200"/>
    </w:p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">
    <w:name w:val="列出段落3"/>
    <w:basedOn w:val="a"/>
    <w:pPr>
      <w:ind w:firstLineChars="200" w:firstLine="200"/>
    </w:pPr>
  </w:style>
  <w:style w:type="paragraph" w:customStyle="1" w:styleId="11">
    <w:name w:val="列出段落1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8">
    <w:name w:val="Balloon Text"/>
    <w:basedOn w:val="a"/>
    <w:rPr>
      <w:sz w:val="18"/>
      <w:szCs w:val="18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9">
    <w:name w:val="样式 三号"/>
    <w:pPr>
      <w:widowControl w:val="0"/>
      <w:ind w:firstLineChars="200" w:firstLine="200"/>
      <w:jc w:val="both"/>
    </w:pPr>
    <w:rPr>
      <w:rFonts w:eastAsia="方正仿宋简体"/>
      <w:kern w:val="2"/>
      <w:sz w:val="32"/>
      <w:szCs w:val="24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010">
    <w:name w:val="样式 7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210">
    <w:name w:val="样式 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910">
    <w:name w:val="样式 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810">
    <w:name w:val="样式 1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410">
    <w:name w:val="样式 2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10">
    <w:name w:val="样式 2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410">
    <w:name w:val="样式 2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cs="Times New Roman"/>
      <w:kern w:val="0"/>
      <w:sz w:val="20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7">
    <w:name w:val="page number"/>
    <w:basedOn w:val="a0"/>
  </w:style>
  <w:style w:type="paragraph" w:customStyle="1" w:styleId="11110">
    <w:name w:val="样式 111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">
    <w:name w:val="列出段落2"/>
    <w:basedOn w:val="a"/>
    <w:pPr>
      <w:ind w:firstLineChars="200" w:firstLine="200"/>
    </w:p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">
    <w:name w:val="列出段落3"/>
    <w:basedOn w:val="a"/>
    <w:pPr>
      <w:ind w:firstLineChars="200" w:firstLine="200"/>
    </w:pPr>
  </w:style>
  <w:style w:type="paragraph" w:customStyle="1" w:styleId="11">
    <w:name w:val="列出段落1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8">
    <w:name w:val="Balloon Text"/>
    <w:basedOn w:val="a"/>
    <w:rPr>
      <w:sz w:val="18"/>
      <w:szCs w:val="18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9">
    <w:name w:val="样式 三号"/>
    <w:pPr>
      <w:widowControl w:val="0"/>
      <w:ind w:firstLineChars="200" w:firstLine="200"/>
      <w:jc w:val="both"/>
    </w:pPr>
    <w:rPr>
      <w:rFonts w:eastAsia="方正仿宋简体"/>
      <w:kern w:val="2"/>
      <w:sz w:val="32"/>
      <w:szCs w:val="24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010">
    <w:name w:val="样式 7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210">
    <w:name w:val="样式 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910">
    <w:name w:val="样式 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810">
    <w:name w:val="样式 1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410">
    <w:name w:val="样式 2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10">
    <w:name w:val="样式 2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410">
    <w:name w:val="样式 2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3474</Words>
  <Characters>19808</Characters>
  <Application>Microsoft Office Word</Application>
  <DocSecurity>0</DocSecurity>
  <Lines>165</Lines>
  <Paragraphs>46</Paragraphs>
  <ScaleCrop>false</ScaleCrop>
  <Company>Microsoft</Company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进口肉类境外生产企业注册条件及对照检查要点</dc:title>
  <dc:creator>lu Jiang</dc:creator>
  <cp:lastModifiedBy>admin</cp:lastModifiedBy>
  <cp:revision>3</cp:revision>
  <cp:lastPrinted>2021-10-14T13:47:00Z</cp:lastPrinted>
  <dcterms:created xsi:type="dcterms:W3CDTF">2024-11-28T11:14:00Z</dcterms:created>
  <dcterms:modified xsi:type="dcterms:W3CDTF">2024-11-28T12:56:00Z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