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CE" w:rsidRDefault="000D17CE" w:rsidP="00FC6FB4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cs="Times New Roman"/>
          <w:color w:val="000000"/>
          <w:kern w:val="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สถานประกอบการผลิตผลไม้แห้งนำเข้าในต่างประเทศ</w:t>
      </w:r>
    </w:p>
    <w:p w:rsidR="000D17CE" w:rsidRDefault="000D17CE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0D17CE" w:rsidRDefault="000D17CE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0D17CE" w:rsidRDefault="000D17CE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0D17CE" w:rsidRDefault="000D17CE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0D17CE" w:rsidRDefault="000D17CE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0D17CE" w:rsidRDefault="000D17CE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1. ตาม "ข้อบังคับของสาธารณรัฐประชาชนจีน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 สภาพสุขอนามัยของวิสาหกิจการผลิตผลไม้แห้งในต่างประเทศที่ยื่นขอจดทะเบียน ในประเทศจีนควรปฏิบัติตามบทบัญญัติที่เกี่ยวข้องของกฎหมาย กฎระเบียบ และมาตรฐานของจีน ซึ่งสอดคล้องกับข้อกำหนดของพิธีสารการตรวจสอบและกักกันผลไม้แห้งที่ส่งออกไปยังประเทศจีน แบบฟอร์มนี้มีไว้สำหรับหน่วยงานผู้มีอำนาจในต่างประเทศที่รับผิดชอบผลไม้แห้งนำเข้าเพื่อทำการตรวจสอบอย่างเป็นทางการของสถานประกอบการผลิตผลไ</w:t>
      </w:r>
      <w:bookmarkStart w:id="0" w:name="_GoBack"/>
      <w:bookmarkEnd w:id="0"/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ม้แห้งตามเงื่อนไขหลักที่ระบุไว้ และเปรียบเทียบจุดตรวจสอบ ในเวลาเดียวกัน สถานประกอบการผลิตผลไม้แห้งในต่างประเทศควรกรอก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/>
        <w:t>และส่งเอกสารสนับสนุนตามเงื่อนไขและพื้นฐานหลักที่ระบุไว้ และเปรียบเทียบและตรวจสอบประเด็นสำคัญยังสามารถใช้เพื่อดำเนินการตรวจสอบตนเองและใช้สำหรับการประเมินตนเองก่อนที่บริษัทจะยื่นขอจดทะเบียน</w:t>
      </w:r>
    </w:p>
    <w:p w:rsidR="000D17CE" w:rsidRDefault="000D17CE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2. เจ้าหน้าที่ผู้มีอำนาจในต่างประเทศและบริษัทผู้ผลิตผลไม้แห้งในต่างประเทศควรพิจารณาการปฏิบัติตามข้อกำหนดตามสถานการณ์จริงของการตรวจสอบเปรียบเทียบ</w:t>
      </w:r>
    </w:p>
    <w:p w:rsidR="000D17CE" w:rsidRDefault="000D17CE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ในเวลาเดียวกันควรส่งไดเร็กทอรีของเอกสารแนบของเอกสารการรับรอง</w:t>
      </w:r>
    </w:p>
    <w:p w:rsidR="000D17CE" w:rsidRDefault="000D17CE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4. "ผลไม้แห้ง" หมายถึง ผลิตภัณฑ์ผลไม้แห้งที่ทำจากผลไม้สดและผ่านกระบวนการอบแห้ง เช่น ตากแดด และตากให้แห้ง</w:t>
      </w:r>
    </w:p>
    <w:p w:rsidR="000D17CE" w:rsidRDefault="000D17CE">
      <w:pPr>
        <w:widowControl/>
        <w:spacing w:line="324" w:lineRule="atLeast"/>
        <w:rPr>
          <w:rFonts w:asci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eastAsia="宋体" w:cs="Times New Roman"/>
          <w:color w:val="000000"/>
          <w:kern w:val="0"/>
          <w:sz w:val="27"/>
          <w:szCs w:val="27"/>
        </w:rPr>
        <w:t> </w:t>
      </w:r>
    </w:p>
    <w:p w:rsidR="000D17CE" w:rsidRDefault="000D17CE">
      <w:pPr>
        <w:widowControl/>
        <w:spacing w:line="324" w:lineRule="atLeast"/>
        <w:jc w:val="center"/>
        <w:rPr>
          <w:rFonts w:ascii="Times New Roman" w:eastAsia="方正黑体_GBK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cs="Times New Roman"/>
          <w:color w:val="000000"/>
          <w:kern w:val="0"/>
          <w:sz w:val="27"/>
          <w:szCs w:val="27"/>
        </w:rPr>
        <w:t> </w:t>
      </w:r>
    </w:p>
    <w:tbl>
      <w:tblPr>
        <w:tblW w:w="14188" w:type="dxa"/>
        <w:tblInd w:w="-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4"/>
        <w:gridCol w:w="3786"/>
        <w:gridCol w:w="3321"/>
        <w:gridCol w:w="4696"/>
        <w:gridCol w:w="860"/>
        <w:gridCol w:w="252"/>
      </w:tblGrid>
      <w:tr w:rsidR="000D17CE">
        <w:trPr>
          <w:trHeight w:val="39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โครงการ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kern w:val="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จุดทบทวน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หมายเ</w:t>
            </w: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lastRenderedPageBreak/>
              <w:t>หตุ</w:t>
            </w:r>
          </w:p>
        </w:tc>
      </w:tr>
      <w:tr w:rsidR="000D17CE">
        <w:trPr>
          <w:trHeight w:val="375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1. สถานการณ์พื้นฐานขององค์กร</w:t>
            </w:r>
          </w:p>
        </w:tc>
      </w:tr>
      <w:tr w:rsidR="000D17CE">
        <w:trPr>
          <w:trHeight w:val="57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 สถานการณ์พื้นฐานขององค์กร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การว่าด้วยการตรวจสอบและกักกันผลไม้แห้งที่ส่งออกไปยังประเทศจีนที่ลงนามระหว่างหน่วยงานผู้มีอำนาจของประเทศที่ยื่นคำขอและสำนักงานศุลกากรทั่วไป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1.1.1 กรอก 1. แบบฟอร์มข้อมูลเบื้องต้นสำหรับสถานประกอบการผลิตผลไม้แห้งนำเข้าในต่างประเทศ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1.1.2 จัดให้มีข้อมูลการผลิตและการดำเนินงานย้อนหลัง 2 ปี นับจากวันที่ทบทวน (หากจัดตั้งน้อยกว่า 2 ปีที่ผ่านมา ให้ระบุข้อมูลตั้งแต่ก่อตั้งสถานประกอบการ) รวมถึงกำลังการผลิต ผลผลิตประจำปีที่เกิดขึ้นจริง (สถิติแยกตามพันธุ์พืช) ) ปริมาณการส่งออก (ถ้ามี) สถิติความหลากหลายและระดับประเทศ) เป็นต้น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ผลไม้แห้งที่จะส่งออกไปยังประเทศจีนควรเป็นไปตามขอบเขตผลิตภัณฑ์ที่กำหนดไว้ในข้อตกลง ระเบียบการ บันทึก ฯลฯ ที่เกี่ยวข้อง ในการตรวจสอบและกักกันผลไม้แห้งที่ส่งออกไปยังประเทศจีน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57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ระบบการจัดการ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มาตรา 5, 6, 7 และ 8 ของ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ระเบียบการว่าด้วยการตรวจสอบและ กักกัน ผลไม้แห้งที่ส่งออกไปยังประเทศจีนที่ลงนามระหว่างหน่วยงานผู้มีอำนาจของประเทศที่ยื่นคำขอและฝ่ายบริหารทั่วไปของศุลกากร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จัดให้มีเอกสารระบบการจัดการเกี่ยวกับการป้องกันและควบคุมการกักกันพืช การจัดการความปลอดภัยของอาหาร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การเรียกคืนผลิตภัณฑ์ที่ไม่ผ่านการรับรอง การจัดการตรวจสอบย้อนกลับ ฯลฯ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วิสาหกิจควรจัดทำเอกสารระบบการจัดการที่ครอ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บคลุมแต่ไม่จำกัดเพียงการป้องกันและการควบคุมสุขอนามัยพืช การจัดการความปลอดภัยด้านอาหาร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การเรียกคืนผลิตภัณฑ์ที่ไม่มีเงื่อนไข การจัดการการตรวจสอบย้อนกลับ ฯลฯ และ นำไปปฏิบัติอย่างมีประสิทธิผล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57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1.3 โครงสร้างองค์กรการจัดการ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2. ระเบียบการว่าด้วยการตรวจสอบและกักกันผลไม้แห้งที่ส่งออกไปยังประเทศจีนที่ลงนามระหว่างหน่วยงานผู้มีอำนาจของประเทศที่ยื่นคำขอและสำนักงานศุลกากรทั่วไป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1.3 จัดให้มีข้อมูลเกี่ยวกับองค์กรการจัดการวิสาหกิจ และบุคลากรของหน่วยงานหรือตำแหน่งที่เกี่ยวข้องกับสุขอนามัยพืชและการจัดการความปลอดภัยของอาหาร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องค์กรควรจัดตั้งแผนกหรือตำแหน่งที่รับผิดชอบด้านสุขอนามัยพืชและการจัดการความปลอดภัยของอาหาร และจัดเจ้าหน้าที่ร่วมกับผู้จัดการที่มีพื้นฐานทางวิชาชีพที่เกี่ยวข้องกับสุขอนามัยพืชและความปลอดภัยของอาหาร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39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2. ที่ตั้งองค์กรและรูปแบบการประชุมเชิงปฏิบัติการ</w:t>
            </w:r>
          </w:p>
        </w:tc>
      </w:tr>
      <w:tr w:rsidR="000D17CE">
        <w:trPr>
          <w:trHeight w:val="57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การเลือกสถานที่และสภาพแวดล้อมของโรงงาน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3.1 และ 3.2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2.1.1 จัดทำผังพื้นที่โรงงานและระบุชื่อพื้นที่ปฏิบัติการต่างๆ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2.1.2 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แผนผังพื้นที่โรงงานตอบสนองความต้องการด้านการผลิตและการแปรรูป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30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รูปแบบการประชุมเชิงปฏิบั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ติการ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4.1 ใน "ข้อกำหนดด้านสุขอนามัยทั่วไปของมา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ตรฐานความปลอดภัยด้านอาหารแห่งชาติสำหรับการผลิตอาหาร" ( 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2.2 จัดทำแผนผังชั้นของโรงงาน ทำเครื่องหมายการไหลของผู้คน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การขนส่ง การไหลของน้ำ ขั้นตอนการประมวลผล และ พื้นที่ทำความสะอาดต่างๆ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พื้นที่และความสูงของการประชุมเชิงปฏิบัติการควรสอดคล้องกับกำลังการผลิตและการจัดวางอุปก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รณ์ ตรงตาม การไหลของกระบวนการและข้อกำหนดด้านความปลอดภัยและสุขภาพของผลิตภัณฑ์ที่กำลังดำเนินการ และหลีกเลี่ยงการปนเปื้อนข้าม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ประตูและหน้าต่างที่สามารถเปิดได้ในโรงปฏิบัติงานและทางเดินเชื่อมต่อกับโลกภายนอก ควรมีสิ่งอำนวยความสะดวกในการป้องกันแมลง หนู นก ค้างคาว และสัตว์บินอื่นๆ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39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3. สิ่งอำนวยความสะดวกและอุปกรณ์</w:t>
            </w:r>
          </w:p>
        </w:tc>
      </w:tr>
      <w:tr w:rsidR="000D17CE">
        <w:trPr>
          <w:trHeight w:val="57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5.2.1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3.1 จัดทำรายการอุปกรณ์และสิ่งอำนวยความสะดวกหลัก และความสามารถในการออกแบบและการประมวลผล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องค์กรควรติดตั้งอุปกรณ์การผลิตให้เหมาะสมกับความสามารถในการผลิตและการแปรรูป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57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3.2 สิ่งอำนวยความสะดวกคลังสินค้า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10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“มาตรฐานความปลอดภัยด้านอาหารแห่งชาติ มาตรฐานสุขอนามัยอาหารสำหรับผลไม้แห้ง” (GB16325)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3.2 หากมีห้องเย็นโปรดอธิบายข้อกำหนดในการควบคุมอุณหภูมิและวิธีการตรวจสอบ (ถ้ามี)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สถานที่จัดเก็บมีความแห้งและมีอากาศถ่ายเท และสามารถตอบสนองข้อกำหนดพื้นฐานสำหรับการจัดเก็บผลิตภัณฑ์ การป้องกันแมลง การควบคุมอุณหภูมิและความชื้น</w:t>
            </w:r>
          </w:p>
          <w:p w:rsidR="000D17CE" w:rsidRDefault="000D17CE">
            <w:pPr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สินค้าจะต้องไม่จัดเก็บร่วมกับสิ่งของที่เป็นพิษ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เป็นอันตราย มีกลิ่น ระเหยง่าย หรือกัดกร่อน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8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4.น้ำ/น้ำแข็ง/ไอน้ำ</w:t>
            </w:r>
          </w:p>
        </w:tc>
      </w:tr>
      <w:tr w:rsidR="000D17CE">
        <w:trPr>
          <w:trHeight w:val="30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 น้ำ/ไอน้ำ/น้ำแข็งสำหรับการผลิตและการแปรรูป (ถ้ามี)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"มาตรฐานความปลอดภัยด้านอาหารแห่งชาติและมาตรฐานสุขอนามัยสำหรับน้ำดื่ม" (GB 5749)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5.1.1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4.1.1 วิสาหกิจควรตรวจสอบให้แน่ใจว่าคุณภาพน้ำเป็นไปตามข้อกำหนดการผลิตและการแปรรูป และควรจัดทำรายงานการทดสอบน้ำในการผลิตและการประมวลผลตามที่กำหนด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4.1.2 น้ำแปรรูปอาหารและน้ำอื่นๆ ที่ไม่ได้สัมผัสกับอาหาร (เช่น น้ำควบแน่น น้ำเสีย หรือน้ำเสีย) ควรขนส่งในท่อที่แยกจากกันโดยสิ้นเชิงเพื่อหลีกเลี่ยงการปนเปื้อนข้าม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องค์กรควรทดสอบคุณภาพของน้ำที่ใช้ในการผลิต (ถ้าใช้) เพื่อให้มั่นใจว่าเป็นไปตามข้อกำหนด ด้านความปลอดภัย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0D17CE" w:rsidRDefault="000D17CE">
            <w:pPr>
              <w:widowControl/>
              <w:spacing w:line="0" w:lineRule="atLeast"/>
              <w:ind w:firstLineChars="150" w:firstLine="36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ไม่สามารถใช้ได้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 </w:t>
            </w:r>
          </w:p>
        </w:tc>
      </w:tr>
      <w:tr w:rsidR="000D17CE">
        <w:trPr>
          <w:trHeight w:val="36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5. วัตถุดิบและวัสดุบรรจุภัณฑ์</w:t>
            </w:r>
          </w:p>
        </w:tc>
      </w:tr>
      <w:tr w:rsidR="000D17CE">
        <w:trPr>
          <w:trHeight w:val="66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การยอมรับและการควบคุมวัตถุดิบและสารปรุงแต่ง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7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“มาตรฐานความปลอดภัยด้านอาหารแห่งชาติ มาตรฐานสุขอนามัยอาหารสำหรับผลไม้แห้ง” (GB16325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จัดให้มีมาตรการการยอมรับวัตถุดิบและสารเติมแต่ง รวมถึงมาตรฐานการยอมรับและวิธีการยอมรับ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มาตรฐานการยอมรับวัตถุดิบและสารเติมแต่งเป็นไปตามกฎระเบียบและมาตรฐานของจีน</w:t>
            </w:r>
          </w:p>
          <w:p w:rsidR="000D17CE" w:rsidRDefault="000D17CE">
            <w:pPr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วิสาหกิจควรตรวจสอบสภาพสุขอนามัยพืชและอาหารของวัตถุดิบก่อนเข้าโรงงาน หรือใช้มาตรการควบคุมสัตว์รบกวนที่จำเป็นเพื่อให้แน่ใจว่าวัตถุดิบเป็นไปตามข้อกำหนดการผลิตที่ปลอดภัย และจัดทำบันทึกการยอมรับและบันทึกการควบคุมสัตว์รบกวน และเก็บบันทึกสำหรับ ไม่น้อยกว่า 2 ปี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 แหล่งที่มาของวัตถุดิบ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“มาตรฐานความปลอดภัยด้านอาหารแห่งชาติ มาตรฐานสุขอนามัยอาหารสำหรับผลไม้แห้ง” (GB16325)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"มาตรฐานความปลอดภัยด้านอาหารแ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ห่งชาติสำหรับการใช้วัตถุเจือปนอาหาร" (GB 2760 )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5. "มาตรฐานความปลอดภัยด้านอาหารแห่งชาติ ขีดจำกัดสูงสุดของสารกำจัดศัตรูพืชในอาหาร" (GB 2763)</w:t>
            </w:r>
          </w:p>
          <w:p w:rsidR="000D17CE" w:rsidRDefault="000D17CE">
            <w:pPr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5.2.1 จัดทำรายงานผลการทดสอบล่าสุดว่าผลิตภัณฑ์เป็นไปตามมาตรฐานความปลอดภัยด้านอาหารแห่งชาติของจีน (ถ้ามี)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5.2.1 จัดหาวัสดุเพื่อพิสูจน์ว่าวัตถุดิบที่ผ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ลิตโดยบริษัทควรมาจากพื้นที่ที่สัตว์ รบกวนกักกัน ไม่เป็นปัญหาสำหรับประเทศจีน และซัพพลายเออร์วัตถุดิบมีคุณสมบัติที่ตรงตามข้อกำหนดของท้องถิ่น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วัตถุดิบที่ใช้ควรเป็นไปตามกฎหมายและข้อบังคับของจีน มาตรฐานความปลอดภัยด้านอาหารแห่งชาติ และข้อตกลง ระเบียบการ บันทึก และข้อบังคับอื่น ๆ ที่เกี่ยวข้องในการตรวจสอบและกักกันผลไม้แห้ง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ที่ส่งออกไปยังประเทศจีน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ไม่ว่าองค์กร จะสร้าง การประเมินความสอดคล้องของวัตถุดิบและดำเนินการการจัดการตรวจสอบย้อนกลับของวัตถุดิบที่ซื้อตามข้อกำหนดของโปรโตคอลหรือไม่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5.3 วัตถุเจือปนอาหาร (ถ้ามี)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ห่งชาติสำหรับการใช้วัตถุเจือปนอาหาร" (GB 2760)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5.3 รายการวัตถุเจือปนอาหารที่ใช้ในการผลิตและการแปรรูป (รวมถึงชื่อ วัตถุประสงค์ ปริมาณการเติม ฯลฯ)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วัตถุเจือปนอาหารที่ใช้ในการผลิตเป็นไปตามกฎระเบียบของจีนเกี่ยวกับการใช้วัตถุเจือปนอาหาร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านได้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5.4 วัสดุบรรจุภัณฑ์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“มาตรฐานความปลอดภัยด้านอาหารแห่งชาติ มาตรฐานสุขอนามัยอาหารสำหรับผลไม้แห้ง” (GB16325)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"หลักการทั่วไปของมาตรฐานความปลอดภัยด้านอาหารแห่งชาติสำหรับการติดฉลากอาหารบรรจุหีบห่อ" (GB7718)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4. ข้อตกลงการตรวจสอบและการกักกันระดับทวิภาคีที่เกี่ยวข้อง บันทึกข้อตกลงและระเบียบการ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5.4.1 แสดงหลักฐานว่าวัสดุบรรจุภัณฑ์ภายในและภายนอกมีความเหมาะสมสำหรับบรรจุภัณฑ์ผลิตภัณฑ์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5.4.2 จัดทำรูปแบบฉลากสำหรับผลิตภัณฑ์สำเร็จรูปที่จะส่งออกไปยังประเทศ จีน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สดุบรรจุภัณฑ์ไม่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เครื่องหมายบนบรรจุภัณฑ์ควรเป็นไปตามข้อกำหนดของข้อตกลงการตรวจสอบและกักกัน บันทึกข้อตกลง และระเบียบการระดับทวิภาคี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8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</w:rPr>
              <w:t>6. การควบคุมการผลิตและการแปรรูป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6.1 การจัดตั้งและดำเนินการระบบ HACCP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"ข้อกำหนดทั่วไปสำหรับองค์กรการผลิตอาหารภายใต้ระบบการวิเคราะห์อันตรายและจุดควบคุมวิกฤต (HACCP)" (GB/T 27341)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6.1.1 จัดเตรียมผังกระบวนการผลิตและกระบวนการผลิต ระบุจุดควบคุมวิกฤต (CCP) และมาตรการควบคุมอันตรายที่ดำเนินการ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6.1.2 หากนำระบบ HACCP มาใช้ ให้จัดเตรียมเอกสารงานการวิเคราะห์อันตรายและแผน HACCP บันทึกการติดตาม CCP บันทึกการแก้ไข และแบบฟอร์มตัวอย่างบันทึกการตรวจสอบ (ถ้ามี)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ผังกระบวนการผลิตและการประมวลผลขององค์กรและพารามิเตอร์กระบวนการหลักที่เกี่ยวข้องควรเป็นวิทยาศาสตร์และเป็นมาตรฐานเพื่อให้มั่นใจในความปลอดภัยของผลิตภัณฑ์ และควรกำหนดมาตรการควบคุมอันตรายพิเศษหรือจุดควบคุมวิกฤติ (CCP) ในการเชื่อมโยงหลักที่มีความเสี่ยงด้านความปลอดภัย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6.2 การควบคุมสารพิษจากเชื้อรา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"ขีดจำกัดมาตรฐานความปลอดภัยด้านอาหารแห่งชาติของสารพิษจากเชื้อราในอาหาร" (GB 2761 )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6.2 จัดทำรายงานการตรวจสอบตัวอย่าง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ที่ระบุว่าสารพิษจากเชื้อรา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ในผลิตภัณฑ์ที่ผลิต แปรรูป และจัดเก็บ 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มาตรฐานความปลอดภัยอาหารแห่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งชาติของจีน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ระบบควบคุมสารพิษจากเชื้อรา ในผลิตภัณฑ์หลังการผลิต การแปรรูป และการเก็บรักษา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ของ โรงงานแปรรูปมีความสมเหตุสมผลหรือไม่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จีน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6.3 การใช้วัตถุเจือปนอาหารและอาหารเสริม (ถ้ามี)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"มาตรฐานความปลอดภัยด้านอาหารแห่งชาติสำหรับการใช้สารเสริมโภชนาการอาหาร" (GB14880)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4. “มาตรฐานความปลอดภัยด้านอาหารแห่งชาติ มาตรฐานสุขอนามัยอาหารสำหรับผลไม้แห้ง” (GB16325)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6.3 จัดทำรายการวัตถุเจือปนอาหารและอาหารเสริมที่ใช้ในการผลิตและการแปรรูป (รวมถึงชื่อ การใช้ ปริมาณที่เติม ฯลฯ)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7. การทำความสะอาดและฆ่าเชื้อ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7.1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การทำความสะอาดและการฆ่าเชื้อ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8.2.1 ใน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"ข้อกำหนดด้านสุขอนามัยทั่วไปของมาตรฐานความปลอดภัยด้านอาหารแห่งชาติสำหรับการผลิตอาหาร" ( 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7.1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จัดให้มีมาตรการทำความสะอาดและฆ่าเชื้อ รวมถึงวิธีการและความถี่ในการทำความสะอาดและการฆ่าเชื้อ และ การตรวจสอบผลการทำความสะอาดและการฆ่าเชื้อ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มาตรการทำความสะอาดและฆ่าเชื้อควรสามารถลดการปนเปื้อนข้ามและเป็นไปตามข้อกำหนดด้านสุขอนามัย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 </w:t>
            </w:r>
          </w:p>
        </w:tc>
      </w:tr>
      <w:tr w:rsidR="000D17CE">
        <w:trPr>
          <w:trHeight w:val="45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8. การควบคุมสารเคมี ของเสีย สัตว์รบกวน และสัตว์ฟันแทะ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การควบคุมสารเคมี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8.3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อธิบายข้อกำหนดการใช้และการเก็บรักษาสารเคมีโดยย่อ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ระบบการจัดการสารเคมีมีความสมเหตุสมผลและสามารถป้องกันสารเคมีที่ใช้ปนเปื้อนผลิตภัณฑ์ได้อย่างมีประสิทธิภาพ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การจัดการ มลพิษ ทางกายภาพ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8.4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8.2 จัดให้มีระบบการจัดการและบันทึกการรักษาที่เกี่ยวข้องเพื่อป้องกันมลพิษทางกายภาพ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ควรจัดให้มีระบบการจัดการเพื่อป้องกันการปนเปื้อนของสิ่งแปลกปลอม วิเคราะห์แหล่งที่มาและวิถีทางของมลพิษที่เป็นไปได้ และควรกำหนดแผนและขั้นตอนการควบคุมที่เกี่ย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วข้อง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ควรลดความเสี่ยงที่อาหารจะปนเปื้อนจากสิ่งแปลกปลอม เช่น แก้ว โลหะ พลาสติก ฯลฯ โดยการใช้มาตรการต่างๆ เช่น การบำรุงรักษาอุปกรณ์ การจัดการด้านสุขอนามัย การจัดการนอกสถานที่ การจัดการบุคลากรภายนอก และการควบคุมดูแลกระบวนการ กระบวนการ.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ควรใช้มาตรการที่มีประสิทธิผล เช่น เครื่องคัดกรอง อุปกรณ์ดักจับ แม่เหล็ก และเครื่องตรวจจับโลหะ เพื่อลด ความเสี่ยงของการปนเปื้อนในอาหารด้วยโลหะหรือสิ่งแปลกปลอมอื่น 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8.3 การควบคุมสัตว์รบกวนและสัตว์ฟันแทะ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6.4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8.3 จัดให้มีวิธีการควบคุมสัตว์รบกวนและแผนผัง หากดำเนินการโดยบุคคลที่สาม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ให้ระบุคุณสมบัติของบุคคลที่สาม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ควรหลีกเลี่ยงผลกระทบของยุง แมลงวัน และแมลงศัตรูพืชและสัตว์ฟันแทะอื่นๆ ที่มีต่อความปลอดภัยและสุขอนามัยในการผลิต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8.4 การจัดการของเสีย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8.4 จัดให้มีระบบการจัดการของเสียและบันทึกการบำบัดที่เกี่ยวข้อง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ภาชนะบรรจุผลิตภัณฑ์ที่บริโภคได้และภาชนะเก็บขยะในโรงงานควรมีการทำเครื่องหมายและแยกแยะอย่างชัดเจน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9. การตรวจสอบย้อนกลับผลิตภัณฑ์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การตรวจสอบย้อนกลับและการเรียกคืน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1.11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อธิบายขั้นตอนการตรวจสอบย้อนกลับผลิตภัณฑ์โดยย่อ โดยใช้หมายเลขชุดของผลิตภัณฑ์สำเร็จรูปหนึ่งชุดเป็นตัวอย่างเพื่ออธิบายวิธีการติดตามผลิตภัณฑ์สำเร็จรูปไปยังวัตถุดิบ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และผลิตภัณฑ์สำเร็จรูป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การจัดการขาเข้าและขาออก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11 และ 14.1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จัดให้มีการจัดการการเข้าและออกผลิตภัณฑ์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ควรตรวจสอบผลิตภัณฑ์ก่อนเข้าคลังสินค้า และบันทึกการรับ การจัดเก็บ และการออกควรเก็บไว้ไม่น้อยกว่า 2 ปี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10. การบริหารงานบุคคลและการฝึกอบรม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การจัดการด้านสุขภาพและสุขอนามัยของบุคลากร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จัดให้มีการจัดการด้านสุขภาพก่อนการจ้างงานและข้อกำหนดการตรวจร่างกายของพนักงาน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ก่อนจ้างพนักงาน ควรได้รับการตรวจร่างกายและพิสูจน์ว่าตนเหมาะสมที่จะทำงานในสถานประกอบการแปรรูปอาหาร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การฝึกอบรมบุคลากร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จัดเตรียมแผนการฝึกอบรม เนื้อหา การประเมิน และบันทึกประจำปีให้กับพนักงาน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เนื้อหาการฝึกอบรมควรครอบคลุมถึงบันทึกการตรวจสอบและกักกัน ข้อตกลงและระเบียบปฏิบัติของผลไม้แห้งที่ส่งออกไปยังประเทศจีน กฎระเบียบและมาตรฐานของจีน เป็นต้น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10.3 ข้อกำหนดด้านการจัดการ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13.3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10.3 จัดให้มีบันทึกการฝึกอบรมแก่ผู้บริหารเกี่ยวกับบทบัญญัติที่เกี่ยวข้องของประเทศ/ภูมิภาคที่ผลิตภัณฑ์ส่งออกตั้งอยู่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และกฎหมายและข้อบังคับด้านสุขภาพพืชและความปลอดภัยของอาหารของจีน และดำเนินการตรวจสอบเฉพาะจุด รวมถึงคำถามและคำตอบเมื่อจำเป็น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ความสามารถทางธุรกิจของบุคลากรด้านการผลิตและการจัดการขององค์กรควรเหมาะสมกับความต้องการของงาน และควรคุ้นเคยกับข้อกำหนดที่เกี่ยวข้องของกฎห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มายและข้อบังคับด้านสุขภาพพืชและความปลอดภัยของอาหารของประเทศ/ภูมิภาคและจีน ตลอดจน ข้อกำหนดของโปรโตคอลในการส่งออกผลไม้แห้งไปยังประเทศจีนที่ลงนามโดยทั้งสองฝ่ายและข้อกำหนดของข้อกำหนดนี้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มีคุณสมบัติและความสามารถเหมาะสมกับงาน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30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11. การตรวจสอบตนเองและการควบคุมตนเอง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11.การตรวจสอบผลิตภัณฑ์สำเร็จรูป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9 ใน 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“มาตรฐานความปลอดภัยด้านอาหารแห่งชาติ มาตรฐานสุขอนามัยอาหารสำหรับผลไม้แห้ง” (GB16325)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"มาตรฐานความปลอดภัยด้านอาหารแห่งชาติสำหรับการใช้วัตถุเจือปนอาห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าร" (GB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6. "มาตรฐานความปลอดภัยด้านอาหารแห่งชาติ ขีดจำกัดสูงสุดของสารกำจัดศัตรูพืชในอาหาร" (GB 2763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11.1 จัดให้มีรายการตรวจสอบผลิตภัณฑ์สำเร็จรูป ตัวชี้วัด วิธีการตรวจสอบ และความถี่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11.2 หากองค์กรมีห้องปฏิบัติการของตนเอง จะต้องส่ง หลักฐานความสามารถและคุณสมบัติของห้องปฏิบัติการ หากองค์กรมอบหมายให้ห้องปฏิบัติการที่ได้รับมอบหมายจากบุคคลที่สาม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จะต้องจัดเตรียมคุณสมบัติห้องปฏิบัติการที่ได้รับความไว้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วางใจ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วิสาหกิจควรดำเนินการสุขอนามัยพืช ความปลอดภัยของอาหาร และการทดสอบอื่นๆ กับผลิตภัณฑ์ของตนเพื่อให้มั่นใจว่าเป็นไปตามข้อกำหนดของจีน และเก็บบันทึกการทดสอบไว้ไม่น้อยกว่า 2 ปี</w:t>
            </w:r>
          </w:p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วิสาหกิจควรมีความสามารถในการตรวจสอบและทดสอบสุขอนามัยพืชและความปลอดภัยของอาหารของผลิตภัณฑ์ หรือมอบหมายให้สถาบันที่มีคุณสมบัติที่เกี่ยวข้องดำเนินการตรวจสอบและทดสอบ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450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12. การควบคุมสัตว์รบกวน</w:t>
            </w: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การป้องกันและควบคุมศัตรูพืชกักกันที่เป็นข้อกังวลของจีน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บันทึกข้อตกลงและพิธีสารว่าด้วยการตรวจสอบและกักกันผลไม้แห้งที่ส่งออกไปยังประเทศจีน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สถานประกอบการจะต้องส่งรายชื่อศัตรูพืชกักกันที่น่ากังวลไปยังประเทศจีน ตลอดจนระบบการติดตามและผลการติดตามผล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ติดตาม ศัตรูพืชกักกันที่จีนกังวล และเก็บบันทึกการติดตามเป็นเวลาไม่น้อยกว่า 2 ปี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านได้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12.2 การจำแนกสัตว์รบกวน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บันทึกข้อตกลงและพิธีสารว่าด้วยการตรวจสอบและกักกันผลไม้แห้งที่ส่งออกไปยังประเทศจีน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12.2 สถานประกอบการต้องยื่นบันทึกศัตรูพืชที่พบในระหว่างการผลิตและการเก็บรักษา และบันทึกการระบุชนิดจากสถาบันวิชาชีพที่ได้รับมอบหมาย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มีความสามารถในการระบุสิ่งมีชีวิตที่เป็นอันตรายที่พบในระหว่างการผลิตและการเก็บรักษาหรือมอบหมายให้องค์กรวิชาชีพดำเนินการระบุตัวตนและสร้างบันทึกการทำงานซึ่งควรเก็บไว้ไม่น้อยกว่า 2 ปี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การควบคุมสัตว์รบกวน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บันทึกข้อตกลงและพิธีสารว่าด้วยการตรวจสอบและกักกันผลไม้แห้งที่ส่งออกไปยังประเทศจีน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สถานประกอบการยื่นบันทึกมาตรการควบคุมสัตว์รบกวนที่นำไปใช้ในพื้นที่การผลิตและการเก็บรักษา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สถานประกอบการควรใช้มาตรการควบคุมสัตว์รบกวนในพื้นที่การผลิตและการเก็บรักษาอย่างสม่ำเสมอหรือเมื่อจำเป็น ควรบันทึกและเก็บรักษามาตรการควบคุมที่เกี่ยวข้องไว้เป็นเวลาไม่น้อยกว่า 2 ปี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45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12.4 การรมควัน (ถ้าจำเป็น)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บันทึกข้อตกลงและพิธีสารว่าด้วยการตรวจสอบและกักกันผลไม้แห้งที่ส่งออกไปยังประเทศจีน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วิธีการบำบัดด้วยการรมควันควรเป็นไปตามข้อกำหนดของจีน และสถาบันและบุคลากรที่ดำเนินการรมควันควรมีคุณสมบัติหรือเงื่อนไขที่เกี่ยวข้อง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ารถใช้งานได้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D17CE">
        <w:trPr>
          <w:trHeight w:val="345"/>
        </w:trPr>
        <w:tc>
          <w:tcPr>
            <w:tcW w:w="14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13. คำชี้แจง</w:t>
            </w:r>
          </w:p>
        </w:tc>
      </w:tr>
      <w:tr w:rsidR="000D17CE">
        <w:trPr>
          <w:trHeight w:val="345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13.1 คำชี้แจงของบริษัท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ควรมีลายเซ็นของนิติบุคคลและตราประทับของบริษัท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0D17CE">
        <w:trPr>
          <w:trHeight w:val="345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13.2 การยืนยันโดยหน่วยงานผู้มีอำนาจ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ควรลงนามโดยหน่วยงานผู้มีอำนาจและประทับตราโดยหน่วยงานผู้มีอำนาจ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7CE" w:rsidRDefault="000D17CE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0D17CE" w:rsidRDefault="000D17CE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eastAsia="宋体" w:cs="Times New Roman"/>
          <w:color w:val="000000"/>
          <w:kern w:val="0"/>
          <w:sz w:val="27"/>
          <w:szCs w:val="27"/>
        </w:rPr>
        <w:t> </w:t>
      </w:r>
    </w:p>
    <w:p w:rsidR="000D17CE" w:rsidRDefault="000D17CE">
      <w:pPr>
        <w:rPr>
          <w:rFonts w:ascii="Times New Roman" w:cs="Times New Roman"/>
        </w:rPr>
      </w:pPr>
    </w:p>
    <w:sectPr w:rsidR="000D17CE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0E" w:rsidRDefault="005E320E" w:rsidP="005B578B">
      <w:r>
        <w:separator/>
      </w:r>
    </w:p>
  </w:endnote>
  <w:endnote w:type="continuationSeparator" w:id="0">
    <w:p w:rsidR="005E320E" w:rsidRDefault="005E320E" w:rsidP="005B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8B" w:rsidRPr="005B578B" w:rsidRDefault="005B578B">
    <w:pPr>
      <w:pStyle w:val="a5"/>
      <w:rPr>
        <w:color w:val="808080" w:themeColor="background1" w:themeShade="80"/>
      </w:rPr>
    </w:pPr>
    <w:r w:rsidRPr="005B578B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0E" w:rsidRDefault="005E320E" w:rsidP="005B578B">
      <w:r>
        <w:separator/>
      </w:r>
    </w:p>
  </w:footnote>
  <w:footnote w:type="continuationSeparator" w:id="0">
    <w:p w:rsidR="005E320E" w:rsidRDefault="005E320E" w:rsidP="005B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1B9A44D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549A1D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2F5C2CC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CAA21E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C20539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6EDA444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1A50F64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8D26549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9D2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8A4616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A3"/>
    <w:rsid w:val="000D17CE"/>
    <w:rsid w:val="00480EA3"/>
    <w:rsid w:val="005B578B"/>
    <w:rsid w:val="005E320E"/>
    <w:rsid w:val="00ED1B0A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3092</Words>
  <Characters>17629</Characters>
  <Application>Microsoft Office Word</Application>
  <DocSecurity>0</DocSecurity>
  <Lines>146</Lines>
  <Paragraphs>41</Paragraphs>
  <ScaleCrop>false</ScaleCrop>
  <Company>Hewlett-Packard Company</Company>
  <LinksUpToDate>false</LinksUpToDate>
  <CharactersWithSpaces>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2021-04-30T06:56:00Z</cp:lastPrinted>
  <dcterms:created xsi:type="dcterms:W3CDTF">2024-11-21T12:08:00Z</dcterms:created>
  <dcterms:modified xsi:type="dcterms:W3CDTF">2024-11-21T12:47:00Z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