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4E" w:rsidRDefault="008C624E">
      <w:pPr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ผลิตภัณฑ์ผึ้ง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 xml:space="preserve"> 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นำเข้า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 xml:space="preserve"> 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ในต่างประเทศ</w:t>
      </w:r>
    </w:p>
    <w:p w:rsidR="008C624E" w:rsidRDefault="008C624E">
      <w:pPr>
        <w:pStyle w:val="258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8C624E" w:rsidRDefault="008C624E">
      <w:pPr>
        <w:pStyle w:val="258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8C624E" w:rsidRDefault="008C624E">
      <w:pPr>
        <w:pStyle w:val="258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8C624E" w:rsidRDefault="008C624E">
      <w:pPr>
        <w:pStyle w:val="25810"/>
        <w:adjustRightInd w:val="0"/>
        <w:snapToGrid w:val="0"/>
        <w:spacing w:line="560" w:lineRule="exact"/>
        <w:ind w:firstLine="480"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8C624E" w:rsidRDefault="008C624E">
      <w:pPr>
        <w:pStyle w:val="1"/>
        <w:adjustRightInd w:val="0"/>
        <w:snapToGrid w:val="0"/>
        <w:spacing w:line="560" w:lineRule="exact"/>
        <w:ind w:left="22" w:firstLine="48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8C624E" w:rsidRDefault="008C624E">
      <w:pPr>
        <w:pStyle w:val="1"/>
        <w:adjustRightInd w:val="0"/>
        <w:snapToGrid w:val="0"/>
        <w:spacing w:line="520" w:lineRule="exact"/>
        <w:ind w:left="22"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1. </w:t>
      </w:r>
      <w:r>
        <w:rPr>
          <w:rFonts w:ascii="方正仿宋_GBK" w:eastAsia="方正仿宋_GBK" w:cs="Times New Roman" w:hint="eastAsia"/>
          <w:sz w:val="24"/>
          <w:szCs w:val="24"/>
        </w:rPr>
        <w:t>ตาม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บังคับของสาธารณรัฐประชาชนจีนว่าด้วยการจดทะเบียนและการจัดการวิสาหกิจการผลิตอาหารนำเข้าในต่างประเทศ</w:t>
      </w:r>
      <w:r>
        <w:rPr>
          <w:rFonts w:ascii="方正仿宋_GBK" w:eastAsia="方正仿宋_GBK" w:cs="Times New Roman" w:hint="eastAsia"/>
          <w:sz w:val="24"/>
          <w:szCs w:val="24"/>
        </w:rPr>
        <w:t>" (</w:t>
      </w:r>
      <w:r>
        <w:rPr>
          <w:rFonts w:ascii="方正仿宋_GBK" w:eastAsia="方正仿宋_GBK" w:cs="Times New Roman" w:hint="eastAsia"/>
          <w:sz w:val="24"/>
          <w:szCs w:val="24"/>
        </w:rPr>
        <w:t>การบริหารทั่วไปของคำสั่งศุลกากรหมายเลข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248) </w:t>
      </w:r>
      <w:r>
        <w:rPr>
          <w:rFonts w:ascii="方正仿宋_GBK" w:eastAsia="方正仿宋_GBK" w:cs="Times New Roman" w:hint="eastAsia"/>
          <w:sz w:val="24"/>
          <w:szCs w:val="24"/>
        </w:rPr>
        <w:t>เงื่อนไขสุขอนามัยขององค์กรการผลิตและแปรรูปผลิตภัณฑ์ผึ้งในต่างประเทศที่ใช้บังคับ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สำหรับการจดทะเบียนในประเทศจีนควรปฏิบัติตามกฎหมาย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กฎระเบียบ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และมาตรฐานของจีน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กฎระเบียบที่เกี่ยวข้องปฏิบัติตามข้อกำหนดของพิธีสารการตรวจสอบและกักกันสำหรับผลิตภัณฑ์ผึ้งที่ส่งออกไปยังประเทศจีน</w:t>
      </w:r>
    </w:p>
    <w:p w:rsidR="008C624E" w:rsidRDefault="008C624E">
      <w:pPr>
        <w:pStyle w:val="1"/>
        <w:adjustRightInd w:val="0"/>
        <w:snapToGrid w:val="0"/>
        <w:spacing w:line="52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2. </w:t>
      </w:r>
      <w:r>
        <w:rPr>
          <w:rFonts w:ascii="方正仿宋_GBK" w:eastAsia="方正仿宋_GBK" w:cs="Times New Roman" w:hint="eastAsia"/>
          <w:sz w:val="24"/>
          <w:szCs w:val="24"/>
        </w:rPr>
        <w:lastRenderedPageBreak/>
        <w:t>หน่วยงานต่างประเทศที่รับผิดชอบผลิตภัณฑ์ผึ้งนำเข้าจะต้องดำเนินการตรวจสอบอย่างเป็นทางการของสถานประกอบการผลิตผลิตภัณฑ์ผึ้งตาม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bookmarkStart w:id="1" w:name="_Hlk14029052"/>
      <w:r>
        <w:rPr>
          <w:rFonts w:ascii="方正仿宋_GBK" w:eastAsia="方正仿宋_GBK" w:cs="Times New Roman" w:hint="eastAsia"/>
          <w:sz w:val="24"/>
          <w:szCs w:val="24"/>
        </w:rPr>
        <w:t>ตารางนี้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bookmarkEnd w:id="1"/>
      <w:r>
        <w:rPr>
          <w:rFonts w:ascii="方正仿宋_GBK" w:eastAsia="方正仿宋_GBK" w:cs="Times New Roman" w:hint="eastAsia"/>
          <w:sz w:val="24"/>
          <w:szCs w:val="24"/>
        </w:rPr>
        <w:t>และพิจารณาการปฏิบัติตามข้อกำหนดตามเงื่อนไขที่แท้จริงของการตรวจสอบตามความเป็นจริง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ส่งแบบฟอร์มนี้และเอกสารการรับรองที่ผู้ผลิตผลิตภัณฑ์ผึ้งในต่างประเทศจัดทำขึ้นตามข้อกำหนดที่เกี่ยวข้องของสำนักงานความปลอดภัยด้านอาหารนำเข้าและส่งออกของกรมศุลกากรแห่งประเทศจีน</w:t>
      </w:r>
    </w:p>
    <w:p w:rsidR="008C624E" w:rsidRDefault="008C624E">
      <w:pPr>
        <w:pStyle w:val="1"/>
        <w:adjustRightInd w:val="0"/>
        <w:snapToGrid w:val="0"/>
        <w:spacing w:line="52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3. </w:t>
      </w:r>
      <w:r>
        <w:rPr>
          <w:rFonts w:ascii="方正仿宋_GBK" w:eastAsia="方正仿宋_GBK" w:cs="Times New Roman" w:hint="eastAsia"/>
          <w:sz w:val="24"/>
          <w:szCs w:val="24"/>
        </w:rPr>
        <w:t>สถานประกอบการผลิตผลิตภัณฑ์ผึ้งในต่างประเทศจะต้องประเมินตนเองและดำเนินการตรวจสอบตนเองก่อนยื่นขอจดทะเบียนตามแบบฟอร์ม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จัดเตรียมเอกสารประกอบตามเนื้อหาในคอลัมน์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ข้อกำหนดในการกรอกและเอกสารประกอบ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ในแบบฟอร์มนี้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ควรจัดทำรายการเอกสารการรับรอง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และหมายเลขและเนื้อหาควรสอดคล้องกับหมายเลขและเนื้อหาในคอลัมน์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"</w:t>
      </w:r>
      <w:r>
        <w:rPr>
          <w:rFonts w:ascii="方正仿宋_GBK" w:eastAsia="方正仿宋_GBK" w:cs="Times New Roman" w:hint="eastAsia"/>
          <w:sz w:val="24"/>
          <w:szCs w:val="24"/>
        </w:rPr>
        <w:t>ข้อกำหนดในการกรอกและเอกสารรับรอง</w:t>
      </w:r>
      <w:r>
        <w:rPr>
          <w:rFonts w:ascii="方正仿宋_GBK" w:eastAsia="方正仿宋_GBK" w:cs="Times New Roman" w:hint="eastAsia"/>
          <w:sz w:val="24"/>
          <w:szCs w:val="24"/>
        </w:rPr>
        <w:t xml:space="preserve">" </w:t>
      </w:r>
      <w:r>
        <w:rPr>
          <w:rFonts w:ascii="方正仿宋_GBK" w:eastAsia="方正仿宋_GBK" w:cs="Times New Roman" w:hint="eastAsia"/>
          <w:sz w:val="24"/>
          <w:szCs w:val="24"/>
        </w:rPr>
        <w:t>ควรกรอกเป็นภาษาจีนและภาษาอังกฤษ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และเนื้อหาควรเป็นจริงและครบถ้วน</w:t>
      </w:r>
    </w:p>
    <w:p w:rsidR="008C624E" w:rsidRDefault="008C624E">
      <w:pPr>
        <w:pStyle w:val="1"/>
        <w:adjustRightInd w:val="0"/>
        <w:snapToGrid w:val="0"/>
        <w:spacing w:line="52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lastRenderedPageBreak/>
        <w:t xml:space="preserve">4. </w:t>
      </w:r>
      <w:r>
        <w:rPr>
          <w:rFonts w:ascii="方正仿宋_GBK" w:eastAsia="方正仿宋_GBK" w:cs="Times New Roman" w:hint="eastAsia"/>
          <w:sz w:val="24"/>
          <w:szCs w:val="24"/>
        </w:rPr>
        <w:t>เนื้อหาภาษาอังกฤษมีไว้เพื่อการอ้างอิงเท่านั้น</w:t>
      </w:r>
      <w:r>
        <w:rPr>
          <w:rFonts w:ascii="方正仿宋_GBK" w:eastAsia="方正仿宋_GBK" w:cs="Times New Roman" w:hint="eastAsia"/>
          <w:sz w:val="24"/>
          <w:szCs w:val="24"/>
        </w:rPr>
        <w:t xml:space="preserve"> </w:t>
      </w:r>
      <w:r>
        <w:rPr>
          <w:rFonts w:ascii="方正仿宋_GBK" w:eastAsia="方正仿宋_GBK" w:cs="Times New Roman" w:hint="eastAsia"/>
          <w:sz w:val="24"/>
          <w:szCs w:val="24"/>
        </w:rPr>
        <w:t>เนื้อหาภาษาจีนจะมีผลเหนือกว่า</w:t>
      </w:r>
    </w:p>
    <w:p w:rsidR="008C624E" w:rsidRDefault="008C624E">
      <w:pPr>
        <w:pStyle w:val="25710"/>
        <w:adjustRightInd w:val="0"/>
        <w:snapToGrid w:val="0"/>
        <w:spacing w:line="400" w:lineRule="exact"/>
        <w:ind w:firstLineChars="0" w:firstLine="0"/>
        <w:jc w:val="left"/>
        <w:rPr>
          <w:rFonts w:ascii="Times New Roman" w:eastAsia="方正仿宋_GBK" w:hAnsi="Times New Roman" w:cs="Times New Roman"/>
          <w:color w:val="FF0000"/>
          <w:sz w:val="24"/>
          <w:szCs w:val="24"/>
        </w:rPr>
      </w:pPr>
    </w:p>
    <w:tbl>
      <w:tblPr>
        <w:tblW w:w="1375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3525"/>
        <w:gridCol w:w="2494"/>
        <w:gridCol w:w="3116"/>
        <w:gridCol w:w="1478"/>
        <w:gridCol w:w="1252"/>
      </w:tblGrid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pStyle w:val="257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t>โครงการ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เงื่อนไข หลัก และพื้นฐาน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leftChars="-95" w:left="-199"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จุดทบทวน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pStyle w:val="7610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หมายเหตุ</w:t>
            </w:r>
          </w:p>
        </w:tc>
      </w:tr>
      <w:tr w:rsidR="008C624E">
        <w:trPr>
          <w:trHeight w:val="672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1. ข้อมูลพื้นฐานขององค์กร</w:t>
            </w: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jc w:val="center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1.สถานการณ์พื้นฐาน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มาตรา 5, 6, 7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8 ของ "ข้อบังคับ ของสาธารณรัฐประชาชนจีน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ว่าด้วย การจดทะเบียนและการจัดการสถานประกอบการผลิตอาหารนำเข้าในต่างประเทศ" (การบริหารทั่วไปของคำสั่งศุลกากรหมายเลข 248 )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" มาตรการ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ของสาธารณรัฐประชาชนจีนว่าด้วย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การจัดการความปลอดภัยด้านอาหารนำเข้าและส่งออก"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(การบริหารทั่วไปของคำสั่งศุลกากรหมายเลข 249) -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3. "ข้อกำหนดด้านสุขอนามัยทั่วไปของมาตรฐานความปลอดภัยด้านอาหารแห่งชาติ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 โปรโตคอลการตรวจสอบและกักกันสำหรับ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ผลิตภัณฑ์ผึ้ง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ส่งออกไปยังประเทศจีนลงนามระหว่างหน่วยงานผู้มีอำนาจของประเทศที่ยื่นคำขอและฝ่ายบริหารทั่วไปของศุลกากร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กรอก "แบบฟอร์มคำขอจดทะเบียนวิสาหกิจการผลิต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ผลิตภัณฑ์ผึ้ง นำเข้าในต่างประเทศ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องค์กรควรกรอกข้อมูลตามความเป็นจริงและข้อมูลพื้นฐานควรสอดคล้องกับข้อมูลที่ส่งโดยหน่วยงานผู้มีอำนาจของประเทศผู้ส่งออกและเงื่อนไขการผลิตและการประมวลผลที่เกิดขึ้นจริง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ทรัพยากรบุคคล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ขององค์กร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ควรสามารถตอบสนอง ข้อกำหนดด้าน การผลิต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การประมวลผล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และคุณภาพและการควบคุมความปลอดภัย ขององค์กรได้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ผลิตภัณฑ์ผึ้ง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ที่จะส่งออกไปยังประเทศจีน ควรเป็นไปตามขอบเขตผลิตภัณฑ์ที่ระบุไว้ในระเบียบการ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2. ที่ตั้งองค์กร รูปแบบการประชุมเชิงปฏิบัติการ สิ่งอำนวยความสะดวกและอุปกรณ์</w:t>
            </w: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2.1 การเลือกสถานที่ตั้งองค์กร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ข้อกำหนดด้านสุขอนามัยทั่วไปของมาตรฐานความปลอดภัยด้านอาหารแห่งชาติสำห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2.1 จัดเตรียมรูปภาพสภาพแวดล้อมที่โรงงานตั้งอยู่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ฯลฯ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ไม่ควรมีแหล่งกำเนิดมลพิษบริเวณรอบโรงงาน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สภาพแวดล้อมและ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แผนผัง โรงงาน</w:t>
            </w:r>
          </w:p>
          <w:p w:rsidR="008C624E" w:rsidRDefault="008C624E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3.2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2.2 จัดทำแผนผังชั้นของพื้นที่โรงงาน แผนผังชั้นควรระบุ พื้นที่การทำงานที่แตกต่างกัน เช่น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การผลิตและการแปรรูป การจัดเก็บวัตถุดิบ/ผลิตภัณฑ์สำเร็จรูป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ห้องเก็บสารเคมี และห้องปฏิบัติการ (ถ้ามี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แผนผังพื้นที่โรงงานตอบสนองความต้องการในการผลิตและการแปรรูป และ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แบ่งเขตการทำงานตามสมควรเพื่อป้องกันความเสี่ยงของการปนเปื้อนของผลิตภัณฑ์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2.3 การออกแบบและเค้าโครงการประชุมเชิงปฏิบัติการ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4.1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2.3 จัดทำแผนผังชั้นของโรงปฏิบัติงานการผลิต ควรระบุช่วงของพื้นที่สะอาดและพื้นที่ที่ไม่สะอาดอย่างชัดเจน ระบุพื้นที่ทำงาน เช่น ห้องเปลี่ยนเสื้อผ้า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การผลิตและการแปรรูป 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ห้องทำความสะอาดเครื่องมือและฆ่าเชื้อ ทิศทาง การไหลของบุคลากรและผลิตภัณฑ์ในโรงงาน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เค้าโครงของโรงปฏิบัติงานควรสมเหตุสมผลเพื่อตอบสนองความต้องการด้านการผลิตและการแปรรูป และหลีกเลี่ยงการปนเปื้อน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ข้าม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312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2.4 โครงสร้างอาคารและวัสดุการประชุมเชิงปฏิบัติการ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ใน "ข้อกำหนดด้านสุขอนามัยทั่วไปของมาตรฐานความปลอดภัยด้านอาหารแห่งชาติสำหรับการผลิตอาหาร" (GB14881 )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2.4 จัดเตรียมภาพถ่ายเพดาน ผนัง พื้น ประตู และหน้าต่างของเวิร์กช็อปเพื่อแสดงวัสดุ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โครงสร้างอาคารและวัสดุของ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โรงงาน ตรงตามข้อกำหนดด้านสุขอนามัยสำหรับการผลิตและการแปรรูปอาหาร และ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ทำความสะอาดง่าย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เพื่อป้องกันการปนเปื้อนในอาหาร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2.5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สิ่งอำนวยความสะดวก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การผลิต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อุปกรณ์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6.2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"ข้อกำหนดด้านสุข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2.5.1 จัดทำ รายการ อุปกรณ์ และสิ่งอำนวยความสะดวกหลัก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สำหรับการผลิตและการแปรรูป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2.5.2 จัดเตรียมรูปถ่ายของการผลิตและการแปรรูปหลัก ตลอดจนการประปา การระบายน้ำ การทำความสะอาดและการฆ่าเชื้อ การจัดเก็บของเสีย สุขอนามัยส่วนบุคคล แสงสว่าง การควบคุมอุณหภูมิ (ถ้ามี)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และอุปกรณ์และ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สิ่งอำนวยความสะดวก อื่น ๆ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องค์กรควรติดตั้งอุปกรณ์การผลิตที่เหมาะสมกับกำลังการผลิต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และสามารถมั่นใจได้ว่าเงื่อนไขด้านสุขอนามัยของกระบวนการผลิตและการประมวลผลเป็นไปตาม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ข้อกำหนด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2.6 สิ่งอำนวยความสะดวกคลังสินค้า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5.1.8 และ 10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"ข้อกำหนดด้านสุขอนามัยทั่วไปของมาตรฐานความปลอดภัยด้านอาหารแห่งชาติ สำหรับ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อธิบายข้อกำหนดการจัดการสำหรับการจัดเก็บวัตถุดิบและผลิตภัณฑ์สำเร็จรูปโดยย่อ และจัดเตรียมรูปภาพที่เกี่ยวข้องในการจัดเก็บที่สามารถสะท้อนถึงสถานการณ์การจัด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เก็บ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จำเป็นต้องตรวจสอบให้แน่ใจว่าวัตถุดิบผลิตภัณฑ์กึ่งสำเร็จรูปและผลิตภัณฑ์สำเร็จรูปของผลิตภัณฑ์ที่ส่งออกไปยังประเทศจีนมีการทำเครื่องหมายและจัดเก็บไว้ในพื้นที่พิเศษอย่างชัดเจน สภาพแวดล้อมในการจัดเก็บและการขนส่งสะอาดและถูกสุขลักษณะ คลังสินค้าที่มีข้อกำหนดด้านอุณหภูมิควรมี สิ่งอำนวยความสะดวก ในการควบคุมอุณหภูมิ ที่ตรงตามข้อกำห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นด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3. การจัดหาน้ำเพื่อการแปรรูป</w:t>
            </w:r>
          </w:p>
        </w:tc>
      </w:tr>
      <w:tr w:rsidR="008C624E">
        <w:trPr>
          <w:trHeight w:val="90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การบำบัดคุณภาพน้ำของน้ำที่ใช้ในกระบวนการผลิต (ถ้ามี)</w:t>
            </w:r>
          </w:p>
          <w:p w:rsidR="008C624E" w:rsidRDefault="008C624E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5.1.2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"ข้อกำหนดด้านสุขอนามัยทั่วไปของมาตรฐานความปลอดภัยด้านอาหารแห่งชาติ สำหรับ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"มาตรฐานด้านสุขอนามัยสำหรับน้ำดื่ม" (GB 5749)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หากเป็นแหล่งน้ำของบริษัท โปรดอธิบายมาตรการที่เกี่ยวข้องในการควบคุมคุณภาพน้ำ และจัดทำรายงานผลการทดสอบคุณภาพน้ำในการผลิตล่าสุด (ถ้ามี)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ปริมาณคลอรีนที่เติมระหว่างการบำบัดคลอรีนควรเป็นไปตามข้อกำหนดของ "มาตรฐานด้านสุขอนามัยสำหรับน้ำดื่ม" (GB 5749) หากไม่ได้เติมคลอรีน องค์กรควรตรวจสอบให้แน่ใจว่าคุณภาพน้ำเป็นไปตามข้อกำหนดของ "มาตรฐานด้านสุขอนามัยสำหรับ น้ำดื่ม" (GB 5749)</w:t>
            </w:r>
          </w:p>
          <w:p w:rsidR="008C624E" w:rsidRDefault="008C624E">
            <w:pPr>
              <w:pStyle w:val="118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  <w:p w:rsidR="008C624E" w:rsidRDefault="008C624E">
            <w:pPr>
              <w:pStyle w:val="1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□ไม่สามารถใช้งานได้</w:t>
            </w: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 xml:space="preserve">4. แหล่งที่มา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ของวัตถุดิบสำหรับผลิตภัณฑ์ผึ้ง</w:t>
            </w: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4.1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ลิงค์การเลี้ยงผึ้ง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ระเบียบปฏิบัติการตรวจสอบและกักกัน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ผลิตภัณฑ์ผึ้ง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ส่งออกไปยังประเทศจีนที่ลงนามระหว่างหน่วยงานผู้มีอำนาจของประเทศผู้สมัครและฝ่ายบริหารทั่วไปของศุลกากร</w:t>
            </w:r>
          </w:p>
          <w:p w:rsidR="008C624E" w:rsidRDefault="008C624E">
            <w:pPr>
              <w:pStyle w:val="127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4.1.1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รายชื่อโรงเลี้ยงผึ้ง/เครื่องปั่นน้ำผึ้งที่จัดหาวัตถุดิบให้กับองค์กร (รายการควรรวมถึงข้อมูลสถานที่ตั้งของโรงเลี้ยงผึ้ง/เครื่องปั่นน้ำผึ้ง) และ เอกสาร รับรองที่ได้รับอนุมัติจากหน่วยงานผู้มีอำนาจของ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ประเทศ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1.2 สำหรับวัตถุดิบของ ผลิตภัณฑ์ผึ้ง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จากประเทศที่สาม ให้จัดเตรียม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เอกสารรับรอง (ถ้ามี) ว่าวัตถุดิบม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าจากผลิตภัณฑ์ผึ้งที่สอดคล้องกับระเบียบการตรวจสอบและกักกันสำหรับผลิตภัณฑ์ผึ้งที่ส่งออกไปยังประเทศ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จีน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4.1.3 เอกสารที่พิสูจน์ว่าวัตถุดิบของผลิตภัณฑ์ผึ้งเป็นไปตามข้อกำหนดของพิธีสารทวิภาคี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โรงเลี้ยงผึ้งหรือห้องผสมน้ำผึ้ง ที่ จัดหา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วัตถุดิบ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สำหรับ ผลิตภัณฑ์ผึ้ง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ที่ส่งออกไปยังประเทศจีน ควร ได้รับการอนุมัติจาก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หน่วย งาน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ผู้มีอำนาจ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ของประเทศ ที่พวกมันตั้งอยู่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และได้รับการดูแลอย่างมีประสิทธิภาพ และปฏิบัติตามข้อกำหนดที่เกี่ยวข้องของพิธีสารทวิภาคี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4.2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การรับวัตถุดิบ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ระเบียบปฏิบัติการตรวจสอบและกักกัน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ผลิตภัณฑ์ผึ้ง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ส่งออกไปยังประเทศจีนที่ลงนามระหว่างหน่วยงานผู้มีอำนาจของประเทศผู้สมัครและฝ่ายบริหารทั่วไปของศุลกากร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 และ 7.2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"ข้อกำหนดเฉพาะด้านสุขอนามัยทั่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วไปของมาตรฐานความปลอดภัยด้านอาหารแห่งชาติ สำหรับ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2.1 อธิบายโดยย่อเกี่ยวกับข้อกำหนดการจัดการของบริษัทสำหรับซัพพลายเออร์วัตถุดิบผลิตภัณฑ์ผึ้ง (รวมถึงโรงเลี้ยงผึ้งและห้องผสมน้ำผึ้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งที่จัดหาวัตถุดิบ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ฯลฯ )</w:t>
            </w:r>
          </w:p>
          <w:p w:rsidR="008C624E" w:rsidRDefault="008C624E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4.2.2 จัดให้มีระบบการยอมรับวัตถุดิบ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(รวมถึงตัวชี้วัด ขีดจำกัด ข้อกำหนดการยอมรับ ฯลฯ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รวมถึงวิธีการป้องกัน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แหล่งน้ำผึ้งที่เป็นพิษและเป็นอันตราย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ไม่ให้เข้ามาในโรงงาน)</w:t>
            </w:r>
          </w:p>
          <w:p w:rsidR="008C624E" w:rsidRDefault="008C624E">
            <w:pPr>
              <w:pStyle w:val="135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4.2.3 จัดให้มีระบบบริหารความเสี่ยงเพื่อป้องกันไม่ให้ผลิตภัณฑ์ผึ้งติดโรคจากโรค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ผึ้ง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วัตถุดิบที่ใช้ในการผลิตผลิตภัณฑ์ผึ้งที่ส่งออกไปยังประเทศจีน จะต้องปลอดภัย ถูกสุขลักษณะ และเหมาะสมกับการบริโภคของมนุษย์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ใช้มาตรการที่มี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ประสิทธิผลตามบทบัญญัติของพิธีสารทวิภาคีเพื่อป้องกันการแพร่กระจายของโรคผึ้งที่เกี่ยวข้องผ่านผลิตภัณฑ์ผึ้งที่ส่งออกไปยังประเทศจีน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4.3 ผลิตภัณฑ์ที่เกี่ยวข้องกั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บอาหาร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7.4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ข้อกำหนดด้านสุขอนามัยทั่วไปของมาตรฐานความปลอดภัยด้า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pStyle w:val="13510"/>
              <w:snapToGrid w:val="0"/>
              <w:spacing w:line="0" w:lineRule="atLeas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4.3.1.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อธิบายข้อกำหนดโดยย่อสำหรับการซื้อวัส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ดุบรรจุภัณฑ์อาหาร ผงซักฟอก สารฆ่าเชื้อ ฯลฯ</w:t>
            </w:r>
          </w:p>
          <w:p w:rsidR="008C624E" w:rsidRDefault="008C624E">
            <w:pPr>
              <w:pStyle w:val="13510"/>
              <w:snapToGrid w:val="0"/>
              <w:spacing w:line="0" w:lineRule="atLeas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4.3.2.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อธิบายข้อกำหนดในการฆ่าเชื้อโดยย่อสำหรับวัสดุบรรจุภัณฑ์ที่สัมผัสโดยตรงกับผลิตภัณฑ์จาก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ผึ้ง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ผลิตภัณฑ์ที่เกี่ยวข้องกับอาหารควรปฏิบัติตามข้อกำหนดด้านความป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ลอดภัยของอาหารและหลีกเลี่ยงการปนเปื้อนในอาหาร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การควบคุมกระบวนการ</w:t>
            </w: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pStyle w:val="4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กระบวนการแปรรูป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มาตรฐานความปลอดภัยด้านอาหารแห่งชาติ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มาตรฐานสุขอนามัย น้ำผึ้ง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(GB14963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ระเบียบปฏิบัติการตรวจสอบและกักกัน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ผลิตภัณฑ์ผึ้ง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ที่ส่งออกไปยังประเทศจีนที่ลงนาม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ระหว่างหน่วยงานผู้มีอำนาจของประเทศผู้สมัครและฝ่ายบริหารทั่วไปของศุลกากร</w:t>
            </w:r>
          </w:p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5.1.1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(ใช้ได้กับบริษัทน้ำผึ้ง)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คำอธิบายโดยย่อเกี่ยวกับ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เทคโนโลยีการประมวลผลน้ำผึ้ง (รวมถึงว่าน้ำผึ้งได้รับความร้อนหรือไ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ม่ อุณหภูมิและความดันสูงสุดในการให้ความร้อน ขนาดตาข่ายของตะแกรงกรอง ไม่ว่าจะใช้กระบวนการคายน้ำและความเข้มข้นหรือไม่ วัตถุเจือปนอาหารและ วัตถุดิบ อื่น ๆ เป็นต้น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5.1.2 (ใช้กับกิจการนมผึ้ง) อธิบายสั้น ๆ เกี่ยวกับเทคโนโลยีการผลิตและการแปรรูป</w:t>
            </w:r>
          </w:p>
          <w:p w:rsidR="008C624E" w:rsidRDefault="008C624E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5.1.3 ตามบทบัญญัติของพิธีสารทวิภาคี ให้ใช้มาตรการที่มีประสิท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ธิภาพเพื่อขจัดความเสี่ยงของโรค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ผึ้ง</w:t>
            </w:r>
          </w:p>
          <w:p w:rsidR="008C624E" w:rsidRDefault="008C624E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5.1.4 จัดเตรียมรูปภาพของอุปกรณ์การประมวลผล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หลัก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pStyle w:val="1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1. น้ำผึ้งที่ส่งออกไปยังประเทศจีนควรเป็นไปตามคำจำกัดความพื้นฐานของน้ำผึ้ง ผลิตภัณฑ์ผึ้งควรคงคุณสมบัติตามธรรมชาติไว้ และไม่ควรเติมวัตถุเจือปนอาหารหรือวัตถุดิบอาหา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รอื่น ๆ</w:t>
            </w:r>
          </w:p>
          <w:p w:rsidR="008C624E" w:rsidRDefault="008C624E">
            <w:pPr>
              <w:pStyle w:val="1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ตรวจสอบให้แน่ใจว่าผลิตภัณฑ์ผึ้งที่ส่งออกไปยังประเทศจีนไม่แพร่โรคจากผึ้งที่เกี่ยวข้องตามที่กำหนดไว้ในพิธีสารทวิภาคี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pStyle w:val="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8C624E" w:rsidRDefault="008C624E">
            <w:pPr>
              <w:pStyle w:val="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5.2 สถานการณ์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การควบคุมสุขอนามัย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6.1, 6.6 และ 8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5.2.1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อธิบายโดยย่อเกี่ยวกับข้อกำหนดพื้นฐานและระบบการจัดการสำหรับการควบคุมสุขอนามัยในระหว่างการผลิตและการแปรรูป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5.2.2 จัดเตรียมรูปภาพของมาตรการควบคุมสุขอนามัยที่นำไปใช้ในโรงงาน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แปรรูป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ควรมีการนำมาตรการควบคุมสุขอนามัยที่มีประสิทธิภาพมาใช้ในระหว่างกระบวนการผลิตและการแปรรูป เพื่อให้มั่นใจในความปลอดภัยและสุขอนามัยของผลิตภัณฑ์ผึ้งที่ส่งออกไปยังประเทศจีน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宋体" w:hint="eastAsia"/>
                <w:color w:val="000000"/>
                <w:sz w:val="24"/>
              </w:rPr>
              <w:t xml:space="preserve">5.3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การตรวจสอบตนเองแ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ละการควบคุมตนเอง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"ข้อกำหนดด้านสุขอนามัยทั่วไปมาตรฐานความปลอดภัยด้านอาหาร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แห่งชาติ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9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5.3.1 หากสถานประกอบการมี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ห้องปฏิบัติการ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ของ ตนเอง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จะต้องส่งหลักฐานความสามารถและคุณสมบัติของห้องปฏิบัติการขององค์กรนั้น หากสถานประกอบการมอบหมายให้ ห้องปฏิบัติการ ที่ได้รับมอบหมายจากบุคคลที่สาม จะ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ต้อง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จัดเตรียมวัสดุที่พิสูจน์คุณสมบัติของห้องปฏิบัติการที่ได้รับ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มอบหมาย</w:t>
            </w:r>
          </w:p>
          <w:p w:rsidR="008C624E" w:rsidRDefault="008C624E">
            <w:pPr>
              <w:snapToGrid w:val="0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จัดทำแผนการติดตามผลขององค์กร รวมถึงรายการตรวจสอบ ความถี่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มาตรฐาน การตัดสินใจ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มาตรการการจัดการที่ไม่มีเงื่อนไข เป็นต้น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องค์กรควรจัดทำแผนการตรวจสอบตนเองและการควบคุมต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นเอง และมาตรฐานการสุ่มตัวอย่าง การทดสอบ และการตัดสินสำหรับการทดสอบวัตถุดิบและผลิตภัณฑ์ควรเป็นไปตามข้อกำหนดของจีนเพื่อให้มั่นใจในความปลอดภัยและสุขอนามัยของผลิตภัณฑ์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8. การจัดการสารเคมีและวัสดุบรรจุภัณฑ์</w:t>
            </w: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8.1 การจัดการและการเก็บรักษาสารเคมี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7.4 และ 8.3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ข้อกำหนดเฉพาะด้านสุขอนามัยทั่วไปของมาตรฐานความปลอดภัยด้านอาหารแห่งชาติสำหรับการผลิตอาหาร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8.1.1 อธิบายข้อกำหนดโดยย่อสำหรับการใช้และการเก็บรักษาสารเคมี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8.1.2 จัดให้มีภาพห้องเก็บสารเคมี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สารเคมี (รวมถึงสารฆ่าเชื้อและสารทำความสะอาดอื่นๆ) ควรเป็นไปตามหน่วยงานผู้มีอำนาจในท้องถิ่นและข้อกำหนดของจีน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ควรจัดเก็บสารเคมีในพื้นที่เฉพาะ มีการจัดการอย่างเข้มงวดและมีฉลากชัดเจน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1092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8.2 การจัดการและการจัดเก็บวัสดุบรรจุภัณฑ์ภายในและภายนอก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7.5 และ 8.5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8.2 แสดง หลักฐานว่าวัสดุบรรจุภัณฑ์ภายในและภายนอกมีความเหมาะสมสำหรับบรรจุภัณฑ์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ผลิตภัณฑ์ผึ้ง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วัสดุบรรจุภัณฑ์ไม่ควรมีสารพิษและเป็นอันตราย และไม่ควรเปลี่ยน คุณสมบัติทางประสาทสัมผัสของ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ผึ้ง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639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9. การกำจัดของเสียและการควบคุมศัตรูพืช</w:t>
            </w: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9.1 การกำจัดของเสีย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6.5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9.1.1 จัดเตรียมรูปภาพแสดงภาชนะบรรจุผลิตภัณฑ์ที่บริโภคได้และภาชนะเก็บขยะในโรงงาน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9.1.2 อธิบายข้อกำหนดโดยย่อสำหรับขั้นตอนการบำบัดของเสีย หากใช้บุคคลที่สามเพื่อการบำบัดที่ไม่เป็นอันตราย โปรดระบุคุณสมบัติที่เกี่ยวข้องของบริษัทบุคคลที่สาม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ภาชนะบรรจุผลิตภัณฑ์ที่บริโภคได้และภาชนะเก็บขยะควรมีการทำเครื่องหมายและแยกแยะให้ชัดเจน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ของเสียควรจัดเก็บแยกต่างหากและดำเนินการให้ทันเวลาเพื่อหลีกเลี่ยงมลภาวะต่อการผลิต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9.2 การควบคุมสัตว์รบกวนและสัตว์ฟันแทะ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6.4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9.2 จัดทำแผนโครงร่างการควบคุมสัตว์รบกวน หากบุคคลที่สามรับผิดชอบ ให้จัดเตรียมคุณสมบัติของบุคคลที่สาม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ควรหลีกเลี่ยงผลกระทบของแมลงศัตรูพืชและสัตว์ฟันแทะที่มีต่อสุขภาพและความปลอดภัยในการผลิต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10. การตรวจสอบย้อนกลับและการเรียกคืนผลิตภัณฑ์</w:t>
            </w: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10. ระบบตรวจสอบย้อนกลับและเรียกคืนผลิตภัณฑ์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11 และ 14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ใน "ข้อกำหนดด้านสุข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ระเบียบ ปฏิบัติการตรวจสอบและกักกัน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สำหรับผลิตภัณฑ์ผึ้ง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ที่ส่งออกไปยังประเทศจีนที่ลงนามระหว่างหน่วยงานผู้มีอำนาจของป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ระเทศที่ยื่นคำขอและฝ่ายบริหารทั่วไปของศุลกากร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10.1 อธิบายขั้นตอนการตรวจสอบย้อนกลับผลิตภัณฑ์โดยย่อ โดยใช้หมายเลขชุดของผลิตภัณฑ์สำเร็จรูปเป็นตัวอย่าง อธิบายวิธีการติดตามผลิตภัณฑ์สำเร็จรูปไปยัง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แหล่งเลี้ยงผึ้ง ที่เกี่ยวข้อ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หรือบริษัทต้นทางของขั้นตอนก่อน หน้า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10.2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จัดเตรียมรูปภาพการระบุชุดของวัตถุดิบแปรรูปผลิตภัณฑ์ผึ้ง ผลิตภัณฑ์สำเร็จรูป และผลิตภัณฑ์กึ่งสำเร็จรูปในระหว่างโครงการจัดเก็บและ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แปรรูป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แหล่งที่มาของสัตว์หรือผลิตภัณฑ์ควรระบุด้วยองค์ประกอบของหมายเลขรุ่น และการจัดการการตรวจสอบย้อนกลับแบบก้าวไปข้างหน้าหนึ่งก้าวและถอยหลังหนึ่งก้าวควรบรรลุผลผ่านการจัดการชุดการผลิตและการรับบันทึกการขาย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ควรตรวจสอบให้แน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่ใจว่าผลิตภัณฑ์มีการติดฉลากอย่างมีประสิทธิภาพในทุกด้าน เช่น การแปรรูปและการเก็บรักษา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 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</w:tcPr>
          <w:p w:rsidR="008C624E" w:rsidRDefault="008C624E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11. การบริหารงานบุคคลและการฝึกอบรม</w:t>
            </w:r>
          </w:p>
        </w:tc>
      </w:tr>
      <w:tr w:rsidR="008C624E">
        <w:trPr>
          <w:trHeight w:val="155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11.1 คุณสมบัติพนักงานและการจัดการด้านสุขภาพ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6.3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11.1 จัดให้มีการจัดการด้านสุขภาพก่อนการจ้างงานและข้อกำหนดการตรวจร่างกายของพนักงาน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ก่อนการจ้างงาน ลูกจ้างควรได้รับการตรวจร่างกายและพิสูจน์ว่าพวกเขาเหมาะสมที่จะทำงานในสถานประกอบการแปรรูปอาหาร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พนักงานควรได้รับการตรวจร่างกายอย่างสม่ำเสมอและเก็บบันทึก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11.2 การฝึกอบรมบุคลากร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12 ใน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ข้อกำหนดด้านสุขอนามัยทั่วไปของมาตรฐานความปลอดภัยด้านอาหารแห่งชาติสำหรับการผลิตอาหาร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11.2 จัดเตรียมแผนการฝึกอบรม เนื้อหา การประเมิน และบันทึกประจำปีให้กับพนักงาน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ผลิตภัณฑ์ผึ้ง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ที่ส่งออกไปยังประเทศจีน กฎระเบียบและการควบคุมมาตรฐานของจีน เป็นต้น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12. คำชี้แจง</w:t>
            </w: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12.1 คำชี้แจงของบริษัท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</w:tcPr>
          <w:p w:rsidR="008C624E" w:rsidRDefault="008C624E">
            <w:pPr>
              <w:pStyle w:val="5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12.1 กรอก "แบบฟอร์มคำขอจดทะเบียนวิสาหกิจการผลิต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ผลิตภัณฑ์ผึ้ง นำเข้าในต่างประเทศ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ควรมีลายเซ็นของนิติบุคคลและตราประทับของบริษัท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12.2 การยืนยันโดยห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น่วยงานสัตวแพทย์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pStyle w:val="6010"/>
              <w:snapToGrid w:val="0"/>
              <w:spacing w:line="0" w:lineRule="atLeast"/>
              <w:ind w:left="-11" w:firstLine="1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12.2 กรอก "แบบฟอร์มคำขอจดทะเ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บียนวิสาหกิจการผลิต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ผลิตภัณฑ์ผึ้ง นำเข้าในต่างประเทศ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ควรลงนามโดยสัตวแพทย์ผู้มีอำนาจและประทับตราโดยหน่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วยงานผู้มีอำนาจ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□สอดคล้องกับ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C624E" w:rsidRDefault="008C624E">
      <w:pPr>
        <w:pStyle w:val="1"/>
        <w:ind w:left="360" w:firstLineChars="0" w:firstLine="0"/>
        <w:rPr>
          <w:rFonts w:ascii="Times New Roman" w:eastAsia="方正仿宋_GBK" w:cs="Times New Roman"/>
          <w:bCs/>
          <w:color w:val="000000"/>
          <w:szCs w:val="21"/>
        </w:rPr>
      </w:pPr>
    </w:p>
    <w:sectPr w:rsidR="008C624E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4C" w:rsidRDefault="00E7294C">
      <w:r>
        <w:separator/>
      </w:r>
    </w:p>
  </w:endnote>
  <w:endnote w:type="continuationSeparator" w:id="0">
    <w:p w:rsidR="00E7294C" w:rsidRDefault="00E7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4E" w:rsidRDefault="008C624E">
    <w:pPr>
      <w:pStyle w:val="a5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>Page</w:instrText>
    </w:r>
    <w:r>
      <w:fldChar w:fldCharType="separate"/>
    </w:r>
    <w:r>
      <w:rPr>
        <w:rStyle w:val="a8"/>
      </w:rPr>
      <w:t>1</w:t>
    </w:r>
    <w:r>
      <w:fldChar w:fldCharType="end"/>
    </w:r>
  </w:p>
  <w:p w:rsidR="008C624E" w:rsidRDefault="008C62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4E" w:rsidRDefault="008C624E">
    <w:pPr>
      <w:pStyle w:val="a5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>Page</w:instrText>
    </w:r>
    <w:r>
      <w:fldChar w:fldCharType="separate"/>
    </w:r>
    <w:r w:rsidR="00D61F41">
      <w:rPr>
        <w:rStyle w:val="a8"/>
        <w:noProof/>
      </w:rPr>
      <w:t>2</w:t>
    </w:r>
    <w:r>
      <w:fldChar w:fldCharType="end"/>
    </w:r>
  </w:p>
  <w:p w:rsidR="008C624E" w:rsidRPr="00D61F41" w:rsidRDefault="00D61F41">
    <w:pPr>
      <w:pStyle w:val="a5"/>
      <w:rPr>
        <w:color w:val="808080" w:themeColor="background1" w:themeShade="80"/>
      </w:rPr>
    </w:pPr>
    <w:r w:rsidRPr="00D61F41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4C" w:rsidRDefault="00E7294C">
      <w:r>
        <w:separator/>
      </w:r>
    </w:p>
  </w:footnote>
  <w:footnote w:type="continuationSeparator" w:id="0">
    <w:p w:rsidR="00E7294C" w:rsidRDefault="00E72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ACFA8BF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11345A5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C92591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62C6D43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92AE93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A63002B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146943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194243C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9D881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19AAF97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E0"/>
    <w:rsid w:val="000213E0"/>
    <w:rsid w:val="001F4BE0"/>
    <w:rsid w:val="00586D01"/>
    <w:rsid w:val="008C624E"/>
    <w:rsid w:val="00D02250"/>
    <w:rsid w:val="00D61F41"/>
    <w:rsid w:val="00E7294C"/>
    <w:rsid w:val="00F37861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cs="Times New Roman"/>
      <w:kern w:val="0"/>
      <w:sz w:val="20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8">
    <w:name w:val="page number"/>
    <w:basedOn w:val="a0"/>
  </w:style>
  <w:style w:type="paragraph" w:customStyle="1" w:styleId="11110">
    <w:name w:val="样式 111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">
    <w:name w:val="列出段落2"/>
    <w:basedOn w:val="a"/>
    <w:pPr>
      <w:ind w:firstLineChars="200" w:firstLine="200"/>
    </w:p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">
    <w:name w:val="列出段落3"/>
    <w:basedOn w:val="a"/>
    <w:pPr>
      <w:ind w:firstLineChars="200" w:firstLine="200"/>
    </w:pPr>
  </w:style>
  <w:style w:type="paragraph" w:customStyle="1" w:styleId="11">
    <w:name w:val="列出段落11"/>
    <w:basedOn w:val="a"/>
    <w:pPr>
      <w:ind w:firstLineChars="200" w:firstLine="200"/>
    </w:pPr>
    <w:rPr>
      <w:rFonts w:ascii="Calibri" w:eastAsia="宋体" w:hAnsi="Calibri" w:cs="黑体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9">
    <w:name w:val="样式 三号"/>
    <w:pPr>
      <w:widowControl w:val="0"/>
      <w:ind w:firstLineChars="200" w:firstLine="200"/>
      <w:jc w:val="both"/>
    </w:pPr>
    <w:rPr>
      <w:rFonts w:eastAsia="方正仿宋简体"/>
      <w:kern w:val="2"/>
      <w:sz w:val="32"/>
      <w:szCs w:val="24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410">
    <w:name w:val="样式 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810">
    <w:name w:val="样式 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010">
    <w:name w:val="样式 7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110">
    <w:name w:val="样式 7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210">
    <w:name w:val="样式 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910">
    <w:name w:val="样式 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10">
    <w:name w:val="样式 1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410">
    <w:name w:val="样式 1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710">
    <w:name w:val="样式 1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810">
    <w:name w:val="样式 1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410">
    <w:name w:val="样式 2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10">
    <w:name w:val="样式 2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410">
    <w:name w:val="样式 2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aa">
    <w:name w:val="公式样式 数字"/>
    <w:autoRedefine/>
    <w:rPr>
      <w:rFonts w:eastAsia="宋体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cs="Times New Roman"/>
      <w:kern w:val="0"/>
      <w:sz w:val="20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8">
    <w:name w:val="page number"/>
    <w:basedOn w:val="a0"/>
  </w:style>
  <w:style w:type="paragraph" w:customStyle="1" w:styleId="11110">
    <w:name w:val="样式 111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">
    <w:name w:val="列出段落2"/>
    <w:basedOn w:val="a"/>
    <w:pPr>
      <w:ind w:firstLineChars="200" w:firstLine="200"/>
    </w:p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">
    <w:name w:val="列出段落3"/>
    <w:basedOn w:val="a"/>
    <w:pPr>
      <w:ind w:firstLineChars="200" w:firstLine="200"/>
    </w:pPr>
  </w:style>
  <w:style w:type="paragraph" w:customStyle="1" w:styleId="11">
    <w:name w:val="列出段落11"/>
    <w:basedOn w:val="a"/>
    <w:pPr>
      <w:ind w:firstLineChars="200" w:firstLine="200"/>
    </w:pPr>
    <w:rPr>
      <w:rFonts w:ascii="Calibri" w:eastAsia="宋体" w:hAnsi="Calibri" w:cs="黑体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9">
    <w:name w:val="样式 三号"/>
    <w:pPr>
      <w:widowControl w:val="0"/>
      <w:ind w:firstLineChars="200" w:firstLine="200"/>
      <w:jc w:val="both"/>
    </w:pPr>
    <w:rPr>
      <w:rFonts w:eastAsia="方正仿宋简体"/>
      <w:kern w:val="2"/>
      <w:sz w:val="32"/>
      <w:szCs w:val="24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410">
    <w:name w:val="样式 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810">
    <w:name w:val="样式 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010">
    <w:name w:val="样式 7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110">
    <w:name w:val="样式 7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210">
    <w:name w:val="样式 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910">
    <w:name w:val="样式 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10">
    <w:name w:val="样式 1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410">
    <w:name w:val="样式 1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710">
    <w:name w:val="样式 1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810">
    <w:name w:val="样式 1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410">
    <w:name w:val="样式 2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10">
    <w:name w:val="样式 2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410">
    <w:name w:val="样式 2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aa">
    <w:name w:val="公式样式 数字"/>
    <w:autoRedefine/>
    <w:rPr>
      <w:rFonts w:eastAsia="宋体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2296</Words>
  <Characters>13089</Characters>
  <Application>Microsoft Office Word</Application>
  <DocSecurity>0</DocSecurity>
  <Lines>109</Lines>
  <Paragraphs>30</Paragraphs>
  <ScaleCrop>false</ScaleCrop>
  <Company>Microsoft</Company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进口肉类境外生产企业注册条件及对照检查要点</dc:title>
  <dc:creator>lu Jiang</dc:creator>
  <cp:lastModifiedBy>admin</cp:lastModifiedBy>
  <cp:revision>4</cp:revision>
  <cp:lastPrinted>2021-10-14T13:54:00Z</cp:lastPrinted>
  <dcterms:created xsi:type="dcterms:W3CDTF">2024-11-25T08:53:00Z</dcterms:created>
  <dcterms:modified xsi:type="dcterms:W3CDTF">2024-11-26T08:54:00Z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242093579_cloud</vt:lpwstr>
  </property>
  <property fmtid="{D5CDD505-2E9C-101B-9397-08002B2CF9AE}" pid="4" name="ICV">
    <vt:lpwstr>E02030E0624A4148857CD9776E0C6528</vt:lpwstr>
  </property>
</Properties>
</file>